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32CF3D">
      <w:pPr>
        <w:pStyle w:val="32"/>
        <w:spacing w:before="120" w:beforeAutospacing="0" w:after="120" w:afterAutospacing="0" w:line="360" w:lineRule="auto"/>
        <w:rPr>
          <w:color w:val="auto"/>
          <w:highlight w:val="none"/>
          <w:shd w:val="clear" w:color="auto" w:fill="auto"/>
        </w:rPr>
      </w:pPr>
      <w:r>
        <w:rPr>
          <w:color w:val="auto"/>
          <w:highlight w:val="none"/>
          <w:shd w:val="clear" w:color="auto" w:fill="auto"/>
        </w:rPr>
        <w:t> </w:t>
      </w:r>
    </w:p>
    <w:p w14:paraId="2E08486F">
      <w:pPr>
        <w:pStyle w:val="32"/>
        <w:spacing w:before="120" w:beforeAutospacing="0" w:after="120" w:afterAutospacing="0" w:line="360" w:lineRule="auto"/>
        <w:jc w:val="center"/>
        <w:rPr>
          <w:rFonts w:ascii="Arial" w:hAnsi="Arial" w:cs="Arial"/>
          <w:b/>
          <w:color w:val="auto"/>
          <w:sz w:val="84"/>
          <w:szCs w:val="84"/>
          <w:highlight w:val="none"/>
          <w:shd w:val="clear" w:color="auto" w:fill="auto"/>
        </w:rPr>
      </w:pPr>
      <w:r>
        <w:rPr>
          <w:rFonts w:ascii="Arial" w:hAnsi="Arial" w:cs="Arial"/>
          <w:b/>
          <w:color w:val="auto"/>
          <w:sz w:val="84"/>
          <w:szCs w:val="84"/>
          <w:highlight w:val="none"/>
          <w:shd w:val="clear" w:color="auto" w:fill="auto"/>
        </w:rPr>
        <w:t>竞争性磋商文件</w:t>
      </w:r>
    </w:p>
    <w:p w14:paraId="34208A4B">
      <w:pPr>
        <w:pStyle w:val="32"/>
        <w:spacing w:before="120" w:beforeAutospacing="0" w:after="120" w:afterAutospacing="0" w:line="360" w:lineRule="auto"/>
        <w:jc w:val="center"/>
        <w:rPr>
          <w:rFonts w:ascii="Arial" w:hAnsi="Arial" w:cs="Arial"/>
          <w:b/>
          <w:color w:val="auto"/>
          <w:sz w:val="84"/>
          <w:szCs w:val="84"/>
          <w:highlight w:val="none"/>
          <w:shd w:val="clear" w:color="auto" w:fill="auto"/>
        </w:rPr>
      </w:pPr>
    </w:p>
    <w:p w14:paraId="61AD97D4">
      <w:pPr>
        <w:keepNext w:val="0"/>
        <w:keepLines w:val="0"/>
        <w:pageBreakBefore w:val="0"/>
        <w:widowControl w:val="0"/>
        <w:spacing w:line="700" w:lineRule="exact"/>
        <w:jc w:val="both"/>
        <w:rPr>
          <w:rFonts w:hint="eastAsia" w:eastAsia="宋体"/>
          <w:b/>
          <w:sz w:val="36"/>
          <w:szCs w:val="36"/>
          <w:lang w:eastAsia="zh-CN"/>
        </w:rPr>
      </w:pPr>
      <w:r>
        <w:rPr>
          <w:rFonts w:ascii="Arial" w:hAnsi="Arial" w:cs="Arial"/>
          <w:b/>
          <w:color w:val="auto"/>
          <w:sz w:val="32"/>
          <w:szCs w:val="32"/>
          <w:highlight w:val="none"/>
          <w:shd w:val="clear" w:color="auto" w:fill="auto"/>
        </w:rPr>
        <w:t>项目名称：</w:t>
      </w:r>
      <w:r>
        <w:rPr>
          <w:rFonts w:hint="eastAsia" w:ascii="Arial" w:hAnsi="Arial" w:eastAsia="宋体" w:cs="Arial"/>
          <w:b/>
          <w:color w:val="auto"/>
          <w:sz w:val="32"/>
          <w:szCs w:val="32"/>
          <w:highlight w:val="none"/>
          <w:shd w:val="clear" w:color="auto" w:fill="auto"/>
          <w:lang w:eastAsia="zh-CN"/>
        </w:rPr>
        <w:t>射阳港经济开发区美食广场等物业服务项目采购项目</w:t>
      </w:r>
    </w:p>
    <w:p w14:paraId="3372413B">
      <w:pPr>
        <w:keepNext w:val="0"/>
        <w:keepLines w:val="0"/>
        <w:pageBreakBefore w:val="0"/>
        <w:widowControl w:val="0"/>
        <w:spacing w:line="700" w:lineRule="exact"/>
        <w:ind w:left="1602" w:hanging="321"/>
        <w:jc w:val="both"/>
        <w:rPr>
          <w:rFonts w:hint="eastAsia" w:eastAsia="宋体"/>
          <w:color w:val="auto"/>
          <w:highlight w:val="none"/>
          <w:shd w:val="clear" w:color="auto" w:fill="auto"/>
          <w:lang w:val="en-US" w:eastAsia="zh-CN"/>
        </w:rPr>
      </w:pPr>
      <w:r>
        <w:rPr>
          <w:rFonts w:ascii="Arial" w:hAnsi="Arial" w:cs="Arial"/>
          <w:b/>
          <w:color w:val="auto"/>
          <w:sz w:val="32"/>
          <w:szCs w:val="32"/>
          <w:highlight w:val="none"/>
          <w:shd w:val="clear" w:color="auto" w:fill="auto"/>
        </w:rPr>
        <w:t>项目编号：JSZC-320924-JZCG-C2026-0016</w:t>
      </w:r>
    </w:p>
    <w:p w14:paraId="02E4DCB7">
      <w:pPr>
        <w:pStyle w:val="32"/>
        <w:spacing w:beforeAutospacing="0" w:afterAutospacing="0" w:line="360" w:lineRule="auto"/>
        <w:rPr>
          <w:color w:val="auto"/>
          <w:highlight w:val="none"/>
          <w:shd w:val="clear" w:color="auto" w:fill="auto"/>
        </w:rPr>
      </w:pPr>
      <w:r>
        <w:rPr>
          <w:color w:val="auto"/>
          <w:highlight w:val="none"/>
          <w:shd w:val="clear" w:color="auto" w:fill="auto"/>
        </w:rPr>
        <w:t> </w:t>
      </w:r>
    </w:p>
    <w:p w14:paraId="30D11BE3">
      <w:pPr>
        <w:pStyle w:val="32"/>
        <w:spacing w:beforeAutospacing="0" w:afterAutospacing="0" w:line="360" w:lineRule="auto"/>
        <w:rPr>
          <w:color w:val="auto"/>
          <w:highlight w:val="none"/>
          <w:shd w:val="clear" w:color="auto" w:fill="auto"/>
        </w:rPr>
      </w:pPr>
      <w:r>
        <w:rPr>
          <w:color w:val="auto"/>
          <w:highlight w:val="none"/>
          <w:shd w:val="clear" w:color="auto" w:fill="auto"/>
        </w:rPr>
        <w:t> </w:t>
      </w:r>
    </w:p>
    <w:p w14:paraId="5A0E7653">
      <w:pPr>
        <w:pStyle w:val="32"/>
        <w:spacing w:beforeAutospacing="0" w:afterAutospacing="0" w:line="360" w:lineRule="auto"/>
        <w:rPr>
          <w:color w:val="auto"/>
          <w:highlight w:val="none"/>
          <w:shd w:val="clear" w:color="auto" w:fill="auto"/>
        </w:rPr>
      </w:pPr>
      <w:r>
        <w:rPr>
          <w:color w:val="auto"/>
          <w:highlight w:val="none"/>
          <w:shd w:val="clear" w:color="auto" w:fill="auto"/>
        </w:rPr>
        <w:t> </w:t>
      </w:r>
    </w:p>
    <w:p w14:paraId="0F84E8E3">
      <w:pPr>
        <w:pStyle w:val="32"/>
        <w:spacing w:beforeAutospacing="0" w:afterAutospacing="0" w:line="360" w:lineRule="auto"/>
        <w:rPr>
          <w:color w:val="auto"/>
          <w:highlight w:val="none"/>
          <w:shd w:val="clear" w:color="auto" w:fill="auto"/>
        </w:rPr>
      </w:pPr>
      <w:r>
        <w:rPr>
          <w:color w:val="auto"/>
          <w:highlight w:val="none"/>
          <w:shd w:val="clear" w:color="auto" w:fill="auto"/>
        </w:rPr>
        <w:t> </w:t>
      </w:r>
    </w:p>
    <w:p w14:paraId="5A9703CA">
      <w:pPr>
        <w:pStyle w:val="32"/>
        <w:spacing w:beforeAutospacing="0" w:afterAutospacing="0" w:line="360" w:lineRule="auto"/>
        <w:rPr>
          <w:color w:val="auto"/>
          <w:highlight w:val="none"/>
          <w:shd w:val="clear" w:color="auto" w:fill="auto"/>
        </w:rPr>
      </w:pPr>
    </w:p>
    <w:p w14:paraId="33FBC6F2">
      <w:pPr>
        <w:pStyle w:val="32"/>
        <w:spacing w:beforeAutospacing="0" w:afterAutospacing="0" w:line="360" w:lineRule="auto"/>
        <w:rPr>
          <w:color w:val="auto"/>
          <w:highlight w:val="none"/>
          <w:shd w:val="clear" w:color="auto" w:fill="auto"/>
        </w:rPr>
      </w:pPr>
    </w:p>
    <w:p w14:paraId="4C9BB528">
      <w:pPr>
        <w:pStyle w:val="32"/>
        <w:spacing w:beforeAutospacing="0" w:afterAutospacing="0" w:line="360" w:lineRule="auto"/>
        <w:rPr>
          <w:color w:val="auto"/>
          <w:highlight w:val="none"/>
          <w:shd w:val="clear" w:color="auto" w:fill="auto"/>
        </w:rPr>
      </w:pPr>
      <w:r>
        <w:rPr>
          <w:color w:val="auto"/>
          <w:highlight w:val="none"/>
          <w:shd w:val="clear" w:color="auto" w:fill="auto"/>
        </w:rPr>
        <w:t> </w:t>
      </w:r>
    </w:p>
    <w:p w14:paraId="7BA42284">
      <w:pPr>
        <w:pStyle w:val="32"/>
        <w:spacing w:beforeAutospacing="0" w:afterAutospacing="0" w:line="360" w:lineRule="auto"/>
        <w:rPr>
          <w:color w:val="auto"/>
          <w:highlight w:val="none"/>
          <w:shd w:val="clear" w:color="auto" w:fill="auto"/>
        </w:rPr>
      </w:pPr>
    </w:p>
    <w:p w14:paraId="35DD0E73">
      <w:pPr>
        <w:pStyle w:val="32"/>
        <w:spacing w:beforeAutospacing="0" w:afterAutospacing="0" w:line="360" w:lineRule="auto"/>
        <w:rPr>
          <w:color w:val="auto"/>
          <w:highlight w:val="none"/>
          <w:shd w:val="clear" w:color="auto" w:fill="auto"/>
        </w:rPr>
      </w:pPr>
    </w:p>
    <w:p w14:paraId="00C89A17">
      <w:pPr>
        <w:pStyle w:val="32"/>
        <w:spacing w:beforeAutospacing="0" w:afterAutospacing="0" w:line="360" w:lineRule="auto"/>
        <w:rPr>
          <w:color w:val="auto"/>
          <w:highlight w:val="none"/>
          <w:shd w:val="clear" w:color="auto" w:fill="auto"/>
        </w:rPr>
      </w:pPr>
    </w:p>
    <w:p w14:paraId="71380901">
      <w:pPr>
        <w:pStyle w:val="32"/>
        <w:spacing w:beforeAutospacing="0" w:afterAutospacing="0" w:line="360" w:lineRule="auto"/>
        <w:rPr>
          <w:color w:val="auto"/>
          <w:highlight w:val="none"/>
          <w:shd w:val="clear" w:color="auto" w:fill="auto"/>
        </w:rPr>
      </w:pPr>
    </w:p>
    <w:p w14:paraId="00ED1800">
      <w:pPr>
        <w:pStyle w:val="32"/>
        <w:spacing w:beforeAutospacing="0" w:afterAutospacing="0" w:line="360" w:lineRule="auto"/>
        <w:rPr>
          <w:color w:val="auto"/>
          <w:highlight w:val="none"/>
          <w:shd w:val="clear" w:color="auto" w:fill="auto"/>
        </w:rPr>
      </w:pPr>
      <w:r>
        <w:rPr>
          <w:color w:val="auto"/>
          <w:highlight w:val="none"/>
          <w:shd w:val="clear" w:color="auto" w:fill="auto"/>
        </w:rPr>
        <w:t> </w:t>
      </w:r>
    </w:p>
    <w:p w14:paraId="47AF4169">
      <w:pPr>
        <w:pStyle w:val="32"/>
        <w:spacing w:before="120" w:beforeAutospacing="0" w:after="120" w:afterAutospacing="0" w:line="360" w:lineRule="auto"/>
        <w:jc w:val="center"/>
        <w:rPr>
          <w:rFonts w:hint="eastAsia" w:ascii="Arial" w:hAnsi="Arial" w:cs="Arial" w:eastAsiaTheme="minorEastAsia"/>
          <w:b/>
          <w:color w:val="auto"/>
          <w:sz w:val="32"/>
          <w:szCs w:val="32"/>
          <w:highlight w:val="none"/>
          <w:shd w:val="clear" w:color="auto" w:fill="auto"/>
          <w:lang w:eastAsia="zh-CN"/>
        </w:rPr>
      </w:pPr>
      <w:r>
        <w:rPr>
          <w:rFonts w:hint="eastAsia" w:ascii="Arial" w:hAnsi="Arial" w:cs="Arial"/>
          <w:b/>
          <w:color w:val="auto"/>
          <w:sz w:val="32"/>
          <w:szCs w:val="32"/>
          <w:highlight w:val="none"/>
          <w:shd w:val="clear" w:color="auto" w:fill="auto"/>
        </w:rPr>
        <w:t>采购单位</w:t>
      </w:r>
      <w:r>
        <w:rPr>
          <w:rFonts w:hint="eastAsia" w:ascii="Arial" w:hAnsi="Arial" w:cs="Arial"/>
          <w:b/>
          <w:color w:val="auto"/>
          <w:sz w:val="32"/>
          <w:szCs w:val="32"/>
          <w:highlight w:val="none"/>
          <w:shd w:val="clear" w:color="auto" w:fill="auto"/>
          <w:lang w:eastAsia="zh-CN"/>
        </w:rPr>
        <w:t>：</w:t>
      </w:r>
      <w:r>
        <w:rPr>
          <w:rFonts w:hint="eastAsia" w:ascii="Arial" w:hAnsi="Arial" w:cs="Arial"/>
          <w:b/>
          <w:color w:val="auto"/>
          <w:sz w:val="32"/>
          <w:szCs w:val="32"/>
          <w:highlight w:val="none"/>
          <w:shd w:val="clear" w:color="auto" w:fill="auto"/>
          <w:lang w:val="en-US" w:eastAsia="zh-CN"/>
        </w:rPr>
        <w:t>江苏射阳港经济开发区管理委员会</w:t>
      </w:r>
    </w:p>
    <w:p w14:paraId="00B78332">
      <w:pPr>
        <w:pStyle w:val="32"/>
        <w:spacing w:before="120" w:beforeAutospacing="0" w:after="120" w:afterAutospacing="0" w:line="360" w:lineRule="auto"/>
        <w:jc w:val="center"/>
        <w:rPr>
          <w:color w:val="auto"/>
          <w:highlight w:val="none"/>
          <w:shd w:val="clear" w:color="auto" w:fill="auto"/>
        </w:rPr>
      </w:pPr>
      <w:r>
        <w:rPr>
          <w:rFonts w:hint="eastAsia" w:ascii="Arial" w:hAnsi="Arial" w:cs="Arial"/>
          <w:b/>
          <w:color w:val="auto"/>
          <w:sz w:val="32"/>
          <w:szCs w:val="32"/>
          <w:highlight w:val="none"/>
          <w:shd w:val="clear" w:color="auto" w:fill="auto"/>
          <w:lang w:val="en-US" w:eastAsia="zh-CN"/>
        </w:rPr>
        <w:t>2026</w:t>
      </w:r>
      <w:r>
        <w:rPr>
          <w:rFonts w:ascii="Arial" w:hAnsi="Arial" w:cs="Arial"/>
          <w:b/>
          <w:color w:val="auto"/>
          <w:sz w:val="32"/>
          <w:szCs w:val="32"/>
          <w:highlight w:val="none"/>
          <w:shd w:val="clear" w:color="auto" w:fill="auto"/>
        </w:rPr>
        <w:t>年</w:t>
      </w:r>
      <w:r>
        <w:rPr>
          <w:rFonts w:hint="eastAsia" w:ascii="Arial" w:hAnsi="Arial" w:cs="Arial"/>
          <w:b/>
          <w:color w:val="auto"/>
          <w:sz w:val="32"/>
          <w:szCs w:val="32"/>
          <w:highlight w:val="none"/>
          <w:shd w:val="clear" w:color="auto" w:fill="auto"/>
          <w:lang w:val="en-US" w:eastAsia="zh-CN"/>
        </w:rPr>
        <w:t>05</w:t>
      </w:r>
      <w:r>
        <w:rPr>
          <w:rFonts w:ascii="Arial" w:hAnsi="Arial" w:cs="Arial"/>
          <w:b/>
          <w:color w:val="auto"/>
          <w:sz w:val="32"/>
          <w:szCs w:val="32"/>
          <w:highlight w:val="none"/>
          <w:shd w:val="clear" w:color="auto" w:fill="auto"/>
        </w:rPr>
        <w:t>月</w:t>
      </w:r>
    </w:p>
    <w:p w14:paraId="22E12F1A">
      <w:pPr>
        <w:pStyle w:val="32"/>
        <w:spacing w:before="120" w:beforeAutospacing="0" w:after="120" w:afterAutospacing="0" w:line="360" w:lineRule="auto"/>
        <w:rPr>
          <w:color w:val="auto"/>
          <w:highlight w:val="none"/>
          <w:shd w:val="clear" w:color="auto" w:fill="auto"/>
        </w:rPr>
      </w:pPr>
      <w:r>
        <w:rPr>
          <w:rFonts w:ascii="Arial" w:hAnsi="Arial" w:cs="Arial"/>
          <w:color w:val="auto"/>
          <w:highlight w:val="none"/>
          <w:shd w:val="clear" w:color="auto" w:fill="auto"/>
        </w:rPr>
        <w:t xml:space="preserve">                        </w:t>
      </w:r>
    </w:p>
    <w:p w14:paraId="123DFA69">
      <w:pPr>
        <w:pStyle w:val="32"/>
        <w:spacing w:before="120" w:beforeAutospacing="0" w:after="120" w:afterAutospacing="0" w:line="360" w:lineRule="auto"/>
        <w:jc w:val="center"/>
        <w:rPr>
          <w:color w:val="auto"/>
          <w:highlight w:val="none"/>
          <w:shd w:val="clear" w:color="auto" w:fill="auto"/>
        </w:rPr>
      </w:pPr>
      <w:r>
        <w:rPr>
          <w:color w:val="auto"/>
          <w:highlight w:val="none"/>
          <w:shd w:val="clear" w:color="auto" w:fill="auto"/>
        </w:rPr>
        <w:t> </w:t>
      </w:r>
    </w:p>
    <w:p w14:paraId="46D73E36">
      <w:pPr>
        <w:pStyle w:val="32"/>
        <w:spacing w:beforeAutospacing="0" w:afterAutospacing="0" w:line="480" w:lineRule="auto"/>
        <w:jc w:val="center"/>
        <w:rPr>
          <w:color w:val="auto"/>
          <w:highlight w:val="none"/>
          <w:shd w:val="clear" w:color="auto" w:fill="auto"/>
        </w:rPr>
      </w:pPr>
      <w:r>
        <w:rPr>
          <w:rFonts w:ascii="Times New Roman" w:hAnsi="Times New Roman"/>
          <w:color w:val="auto"/>
          <w:sz w:val="21"/>
          <w:szCs w:val="21"/>
          <w:highlight w:val="none"/>
          <w:shd w:val="clear" w:color="auto" w:fill="auto"/>
        </w:rPr>
        <w:br w:type="page" w:clear="all"/>
      </w:r>
      <w:r>
        <w:rPr>
          <w:rFonts w:ascii="Times New Roman" w:hAnsi="Times New Roman"/>
          <w:color w:val="auto"/>
          <w:sz w:val="21"/>
          <w:szCs w:val="21"/>
          <w:highlight w:val="none"/>
          <w:shd w:val="clear" w:color="auto" w:fill="auto"/>
        </w:rPr>
        <w:t> </w:t>
      </w:r>
      <w:bookmarkStart w:id="0" w:name="_Toc16938516"/>
      <w:bookmarkStart w:id="1" w:name="_Toc20823272"/>
      <w:bookmarkStart w:id="2" w:name="_Toc479757206"/>
      <w:bookmarkStart w:id="3" w:name="_Toc523127445"/>
      <w:bookmarkStart w:id="4" w:name="_Toc120614210"/>
      <w:bookmarkStart w:id="5" w:name="_Toc513029200"/>
      <w:r>
        <w:rPr>
          <w:rFonts w:ascii="黑体" w:hAnsi="宋体" w:eastAsia="黑体" w:cs="黑体"/>
          <w:b/>
          <w:color w:val="auto"/>
          <w:sz w:val="44"/>
          <w:szCs w:val="44"/>
          <w:highlight w:val="none"/>
          <w:shd w:val="clear" w:color="auto" w:fill="auto"/>
        </w:rPr>
        <w:t>总  目  录</w:t>
      </w:r>
      <w:bookmarkEnd w:id="0"/>
      <w:bookmarkEnd w:id="1"/>
      <w:bookmarkEnd w:id="2"/>
      <w:bookmarkEnd w:id="3"/>
      <w:bookmarkEnd w:id="4"/>
      <w:bookmarkEnd w:id="5"/>
    </w:p>
    <w:p w14:paraId="242FC421">
      <w:pPr>
        <w:pStyle w:val="32"/>
        <w:spacing w:beforeAutospacing="0" w:afterAutospacing="0" w:line="480" w:lineRule="auto"/>
        <w:jc w:val="both"/>
        <w:rPr>
          <w:color w:val="auto"/>
          <w:highlight w:val="none"/>
          <w:shd w:val="clear" w:color="auto" w:fill="auto"/>
        </w:rPr>
      </w:pPr>
      <w:r>
        <w:rPr>
          <w:color w:val="auto"/>
          <w:highlight w:val="none"/>
          <w:shd w:val="clear" w:color="auto" w:fill="auto"/>
        </w:rPr>
        <w:t> </w:t>
      </w:r>
    </w:p>
    <w:p w14:paraId="1F7EEBB8">
      <w:pPr>
        <w:pStyle w:val="32"/>
        <w:keepNext w:val="0"/>
        <w:keepLines w:val="0"/>
        <w:pageBreakBefore w:val="0"/>
        <w:widowControl w:val="0"/>
        <w:tabs>
          <w:tab w:val="left" w:pos="1441"/>
        </w:tabs>
        <w:spacing w:beforeAutospacing="0" w:afterAutospacing="0" w:line="560" w:lineRule="exact"/>
        <w:ind w:left="2160" w:hanging="1440"/>
        <w:jc w:val="both"/>
        <w:rPr>
          <w:rFonts w:hint="eastAsia" w:ascii="宋体" w:hAnsi="宋体" w:eastAsia="宋体" w:cs="宋体"/>
          <w:b/>
          <w:bCs/>
          <w:color w:val="auto"/>
          <w:highlight w:val="none"/>
          <w:shd w:val="clear" w:color="auto" w:fill="auto"/>
          <w:lang w:val="en-US" w:eastAsia="zh-CN"/>
        </w:rPr>
      </w:pPr>
      <w:r>
        <w:rPr>
          <w:rFonts w:hint="eastAsia" w:ascii="宋体" w:hAnsi="宋体" w:eastAsia="宋体" w:cs="宋体"/>
          <w:b/>
          <w:bCs/>
          <w:color w:val="auto"/>
          <w:sz w:val="36"/>
          <w:szCs w:val="36"/>
          <w:highlight w:val="none"/>
          <w:shd w:val="clear" w:color="auto" w:fill="auto"/>
          <w:lang w:val="en-US" w:eastAsia="zh-CN"/>
        </w:rPr>
        <w:t>竞争性磋商公告</w:t>
      </w:r>
      <w:r>
        <w:rPr>
          <w:rFonts w:hint="eastAsia" w:ascii="宋体" w:hAnsi="宋体" w:eastAsia="宋体" w:cs="宋体"/>
          <w:b/>
          <w:bCs/>
          <w:color w:val="auto"/>
          <w:sz w:val="36"/>
          <w:szCs w:val="36"/>
          <w:highlight w:val="none"/>
          <w:shd w:val="clear" w:color="auto" w:fill="auto"/>
        </w:rPr>
        <w:t xml:space="preserve">…………………………… </w:t>
      </w:r>
    </w:p>
    <w:p w14:paraId="4104BC1C">
      <w:pPr>
        <w:pStyle w:val="32"/>
        <w:keepNext w:val="0"/>
        <w:keepLines w:val="0"/>
        <w:pageBreakBefore w:val="0"/>
        <w:widowControl w:val="0"/>
        <w:tabs>
          <w:tab w:val="left" w:pos="1441"/>
        </w:tabs>
        <w:spacing w:beforeAutospacing="0" w:afterAutospacing="0" w:line="560" w:lineRule="exact"/>
        <w:ind w:left="2160" w:hanging="1440"/>
        <w:jc w:val="both"/>
        <w:rPr>
          <w:rFonts w:hint="eastAsia" w:ascii="宋体" w:hAnsi="宋体" w:eastAsia="宋体" w:cs="宋体"/>
          <w:b/>
          <w:bCs/>
          <w:color w:val="auto"/>
          <w:highlight w:val="none"/>
          <w:shd w:val="clear" w:color="auto" w:fill="auto"/>
        </w:rPr>
      </w:pPr>
      <w:r>
        <w:rPr>
          <w:rFonts w:hint="eastAsia" w:ascii="宋体" w:hAnsi="宋体" w:eastAsia="宋体" w:cs="宋体"/>
          <w:b/>
          <w:bCs/>
          <w:color w:val="auto"/>
          <w:sz w:val="36"/>
          <w:szCs w:val="36"/>
          <w:highlight w:val="none"/>
          <w:shd w:val="clear" w:color="auto" w:fill="auto"/>
        </w:rPr>
        <w:t>供应商须知…………………………………</w:t>
      </w:r>
      <w:r>
        <w:rPr>
          <w:rFonts w:hint="eastAsia" w:ascii="宋体" w:hAnsi="宋体" w:eastAsia="宋体" w:cs="宋体"/>
          <w:b/>
          <w:bCs/>
          <w:color w:val="auto"/>
          <w:sz w:val="36"/>
          <w:szCs w:val="36"/>
          <w:highlight w:val="none"/>
          <w:shd w:val="clear" w:color="auto" w:fill="auto"/>
          <w:lang w:val="en-US" w:eastAsia="zh-CN"/>
        </w:rPr>
        <w:t xml:space="preserve"> </w:t>
      </w:r>
    </w:p>
    <w:p w14:paraId="416C4943">
      <w:pPr>
        <w:pStyle w:val="32"/>
        <w:keepNext w:val="0"/>
        <w:keepLines w:val="0"/>
        <w:pageBreakBefore w:val="0"/>
        <w:widowControl w:val="0"/>
        <w:tabs>
          <w:tab w:val="left" w:pos="1441"/>
        </w:tabs>
        <w:spacing w:beforeAutospacing="0" w:afterAutospacing="0" w:line="560" w:lineRule="exact"/>
        <w:ind w:left="2160" w:hanging="1440"/>
        <w:jc w:val="both"/>
        <w:rPr>
          <w:rFonts w:hint="default" w:ascii="宋体" w:hAnsi="宋体" w:eastAsia="宋体" w:cs="宋体"/>
          <w:b/>
          <w:bCs/>
          <w:color w:val="auto"/>
          <w:highlight w:val="none"/>
          <w:shd w:val="clear" w:color="auto" w:fill="auto"/>
          <w:lang w:val="en-US" w:eastAsia="zh-CN"/>
        </w:rPr>
      </w:pPr>
      <w:r>
        <w:rPr>
          <w:rFonts w:hint="eastAsia" w:ascii="宋体" w:hAnsi="宋体" w:eastAsia="宋体" w:cs="宋体"/>
          <w:b/>
          <w:bCs/>
          <w:color w:val="auto"/>
          <w:sz w:val="36"/>
          <w:szCs w:val="36"/>
          <w:highlight w:val="none"/>
          <w:shd w:val="clear" w:color="auto" w:fill="auto"/>
        </w:rPr>
        <w:t>合同文本……………………………………</w:t>
      </w:r>
      <w:r>
        <w:rPr>
          <w:rFonts w:hint="eastAsia" w:ascii="宋体" w:hAnsi="宋体" w:eastAsia="宋体" w:cs="宋体"/>
          <w:b/>
          <w:bCs/>
          <w:color w:val="auto"/>
          <w:sz w:val="36"/>
          <w:szCs w:val="36"/>
          <w:highlight w:val="none"/>
          <w:shd w:val="clear" w:color="auto" w:fill="auto"/>
          <w:lang w:val="en-US" w:eastAsia="zh-CN"/>
        </w:rPr>
        <w:t xml:space="preserve"> </w:t>
      </w:r>
    </w:p>
    <w:p w14:paraId="375DF02D">
      <w:pPr>
        <w:pStyle w:val="32"/>
        <w:keepNext w:val="0"/>
        <w:keepLines w:val="0"/>
        <w:pageBreakBefore w:val="0"/>
        <w:widowControl w:val="0"/>
        <w:tabs>
          <w:tab w:val="left" w:pos="1441"/>
        </w:tabs>
        <w:spacing w:beforeAutospacing="0" w:afterAutospacing="0" w:line="560" w:lineRule="exact"/>
        <w:ind w:left="2160" w:hanging="1440"/>
        <w:jc w:val="both"/>
        <w:rPr>
          <w:rFonts w:hint="default" w:ascii="宋体" w:hAnsi="宋体" w:eastAsia="宋体" w:cs="宋体"/>
          <w:b/>
          <w:bCs/>
          <w:color w:val="auto"/>
          <w:highlight w:val="none"/>
          <w:shd w:val="clear" w:color="auto" w:fill="auto"/>
          <w:lang w:val="en-US" w:eastAsia="zh-CN"/>
        </w:rPr>
      </w:pPr>
      <w:r>
        <w:rPr>
          <w:rFonts w:hint="eastAsia" w:ascii="宋体" w:hAnsi="宋体" w:eastAsia="宋体" w:cs="宋体"/>
          <w:b/>
          <w:bCs/>
          <w:color w:val="auto"/>
          <w:sz w:val="36"/>
          <w:szCs w:val="36"/>
          <w:highlight w:val="none"/>
          <w:shd w:val="clear" w:color="auto" w:fill="auto"/>
        </w:rPr>
        <w:t>采购需求……………………………………</w:t>
      </w:r>
      <w:r>
        <w:rPr>
          <w:rFonts w:hint="eastAsia" w:ascii="宋体" w:hAnsi="宋体" w:eastAsia="宋体" w:cs="宋体"/>
          <w:b/>
          <w:bCs/>
          <w:color w:val="auto"/>
          <w:sz w:val="36"/>
          <w:szCs w:val="36"/>
          <w:highlight w:val="none"/>
          <w:shd w:val="clear" w:color="auto" w:fill="auto"/>
          <w:lang w:val="en-US" w:eastAsia="zh-CN"/>
        </w:rPr>
        <w:t xml:space="preserve"> </w:t>
      </w:r>
    </w:p>
    <w:p w14:paraId="55F43235">
      <w:pPr>
        <w:pStyle w:val="32"/>
        <w:keepNext w:val="0"/>
        <w:keepLines w:val="0"/>
        <w:pageBreakBefore w:val="0"/>
        <w:widowControl w:val="0"/>
        <w:tabs>
          <w:tab w:val="left" w:pos="1441"/>
        </w:tabs>
        <w:spacing w:beforeAutospacing="0" w:afterAutospacing="0" w:line="560" w:lineRule="exact"/>
        <w:ind w:left="2160" w:hanging="1440"/>
        <w:jc w:val="both"/>
        <w:rPr>
          <w:rFonts w:hint="default" w:ascii="宋体" w:hAnsi="宋体" w:eastAsia="宋体" w:cs="宋体"/>
          <w:b/>
          <w:bCs/>
          <w:color w:val="auto"/>
          <w:highlight w:val="none"/>
          <w:shd w:val="clear" w:color="auto" w:fill="auto"/>
          <w:lang w:val="en-US" w:eastAsia="zh-CN"/>
        </w:rPr>
      </w:pPr>
      <w:r>
        <w:rPr>
          <w:rFonts w:hint="eastAsia" w:ascii="宋体" w:hAnsi="宋体" w:eastAsia="宋体" w:cs="宋体"/>
          <w:b/>
          <w:bCs/>
          <w:color w:val="auto"/>
          <w:sz w:val="36"/>
          <w:szCs w:val="36"/>
          <w:highlight w:val="none"/>
          <w:shd w:val="clear" w:color="auto" w:fill="auto"/>
        </w:rPr>
        <w:t>评审方法与评审标准………………………</w:t>
      </w:r>
      <w:r>
        <w:rPr>
          <w:rFonts w:hint="eastAsia" w:ascii="宋体" w:hAnsi="宋体" w:eastAsia="宋体" w:cs="宋体"/>
          <w:b/>
          <w:bCs/>
          <w:color w:val="auto"/>
          <w:sz w:val="36"/>
          <w:szCs w:val="36"/>
          <w:highlight w:val="none"/>
          <w:shd w:val="clear" w:color="auto" w:fill="auto"/>
          <w:lang w:val="en-US" w:eastAsia="zh-CN"/>
        </w:rPr>
        <w:t xml:space="preserve"> </w:t>
      </w:r>
    </w:p>
    <w:p w14:paraId="4319EA3E">
      <w:pPr>
        <w:pStyle w:val="32"/>
        <w:keepNext w:val="0"/>
        <w:keepLines w:val="0"/>
        <w:pageBreakBefore w:val="0"/>
        <w:widowControl w:val="0"/>
        <w:tabs>
          <w:tab w:val="left" w:pos="1441"/>
        </w:tabs>
        <w:spacing w:beforeAutospacing="0" w:afterAutospacing="0" w:line="560" w:lineRule="exact"/>
        <w:ind w:left="2160" w:hanging="1440"/>
        <w:jc w:val="both"/>
        <w:rPr>
          <w:rFonts w:hint="default" w:eastAsia="宋体"/>
          <w:color w:val="auto"/>
          <w:highlight w:val="none"/>
          <w:shd w:val="clear" w:color="auto" w:fill="auto"/>
          <w:lang w:val="en-US" w:eastAsia="zh-CN"/>
        </w:rPr>
      </w:pPr>
      <w:r>
        <w:rPr>
          <w:rFonts w:hint="eastAsia" w:ascii="宋体" w:hAnsi="宋体" w:eastAsia="宋体" w:cs="宋体"/>
          <w:b/>
          <w:bCs/>
          <w:color w:val="auto"/>
          <w:sz w:val="36"/>
          <w:szCs w:val="36"/>
          <w:highlight w:val="none"/>
          <w:shd w:val="clear" w:color="auto" w:fill="auto"/>
        </w:rPr>
        <w:t>响应文件格式………………………………</w:t>
      </w:r>
      <w:r>
        <w:rPr>
          <w:rFonts w:hint="eastAsia" w:ascii="宋体" w:hAnsi="宋体" w:eastAsia="宋体" w:cs="宋体"/>
          <w:b/>
          <w:bCs/>
          <w:color w:val="auto"/>
          <w:sz w:val="36"/>
          <w:szCs w:val="36"/>
          <w:highlight w:val="none"/>
          <w:shd w:val="clear" w:color="auto" w:fill="auto"/>
          <w:lang w:val="en-US" w:eastAsia="zh-CN"/>
        </w:rPr>
        <w:t xml:space="preserve"> </w:t>
      </w:r>
    </w:p>
    <w:p w14:paraId="5A636E1B">
      <w:pPr>
        <w:pStyle w:val="32"/>
        <w:spacing w:beforeAutospacing="0" w:afterAutospacing="0"/>
        <w:jc w:val="both"/>
        <w:rPr>
          <w:color w:val="auto"/>
          <w:highlight w:val="none"/>
          <w:shd w:val="clear" w:color="auto" w:fill="auto"/>
        </w:rPr>
      </w:pPr>
      <w:r>
        <w:rPr>
          <w:color w:val="auto"/>
          <w:highlight w:val="none"/>
          <w:shd w:val="clear" w:color="auto" w:fill="auto"/>
        </w:rPr>
        <w:t> </w:t>
      </w:r>
    </w:p>
    <w:p w14:paraId="28C45ECF">
      <w:pPr>
        <w:pStyle w:val="32"/>
        <w:spacing w:beforeAutospacing="0" w:afterAutospacing="0"/>
        <w:jc w:val="both"/>
        <w:rPr>
          <w:color w:val="auto"/>
          <w:highlight w:val="none"/>
          <w:shd w:val="clear" w:color="auto" w:fill="auto"/>
        </w:rPr>
      </w:pPr>
      <w:r>
        <w:rPr>
          <w:color w:val="auto"/>
          <w:highlight w:val="none"/>
          <w:shd w:val="clear" w:color="auto" w:fill="auto"/>
        </w:rPr>
        <w:t> </w:t>
      </w:r>
    </w:p>
    <w:p w14:paraId="4595E673">
      <w:pPr>
        <w:pStyle w:val="32"/>
        <w:spacing w:beforeAutospacing="0" w:afterAutospacing="0"/>
        <w:jc w:val="both"/>
        <w:rPr>
          <w:color w:val="auto"/>
          <w:highlight w:val="none"/>
          <w:shd w:val="clear" w:color="auto" w:fill="auto"/>
        </w:rPr>
      </w:pPr>
      <w:r>
        <w:rPr>
          <w:color w:val="auto"/>
          <w:highlight w:val="none"/>
          <w:shd w:val="clear" w:color="auto" w:fill="auto"/>
        </w:rPr>
        <w:t> </w:t>
      </w:r>
    </w:p>
    <w:p w14:paraId="30B31A60">
      <w:pPr>
        <w:pStyle w:val="32"/>
        <w:spacing w:beforeAutospacing="0" w:afterAutospacing="0"/>
        <w:jc w:val="both"/>
        <w:rPr>
          <w:color w:val="auto"/>
          <w:highlight w:val="none"/>
          <w:shd w:val="clear" w:color="auto" w:fill="auto"/>
        </w:rPr>
      </w:pPr>
      <w:r>
        <w:rPr>
          <w:color w:val="auto"/>
          <w:highlight w:val="none"/>
          <w:shd w:val="clear" w:color="auto" w:fill="auto"/>
        </w:rPr>
        <w:t> </w:t>
      </w:r>
    </w:p>
    <w:p w14:paraId="182995D5">
      <w:pPr>
        <w:pStyle w:val="32"/>
        <w:spacing w:beforeAutospacing="0" w:afterAutospacing="0"/>
        <w:jc w:val="both"/>
        <w:rPr>
          <w:color w:val="auto"/>
          <w:highlight w:val="none"/>
          <w:shd w:val="clear" w:color="auto" w:fill="auto"/>
        </w:rPr>
      </w:pPr>
      <w:r>
        <w:rPr>
          <w:color w:val="auto"/>
          <w:highlight w:val="none"/>
          <w:shd w:val="clear" w:color="auto" w:fill="auto"/>
        </w:rPr>
        <w:t> </w:t>
      </w:r>
    </w:p>
    <w:p w14:paraId="4252CBF3">
      <w:pPr>
        <w:pStyle w:val="32"/>
        <w:spacing w:beforeAutospacing="0" w:afterAutospacing="0"/>
        <w:jc w:val="both"/>
        <w:rPr>
          <w:color w:val="auto"/>
          <w:highlight w:val="none"/>
          <w:shd w:val="clear" w:color="auto" w:fill="auto"/>
        </w:rPr>
      </w:pPr>
      <w:r>
        <w:rPr>
          <w:color w:val="auto"/>
          <w:highlight w:val="none"/>
          <w:shd w:val="clear" w:color="auto" w:fill="auto"/>
        </w:rPr>
        <w:t> </w:t>
      </w:r>
    </w:p>
    <w:p w14:paraId="1D3E2B73">
      <w:pPr>
        <w:pStyle w:val="32"/>
        <w:spacing w:beforeAutospacing="0" w:afterAutospacing="0"/>
        <w:jc w:val="both"/>
        <w:rPr>
          <w:color w:val="auto"/>
          <w:highlight w:val="none"/>
          <w:shd w:val="clear" w:color="auto" w:fill="auto"/>
        </w:rPr>
      </w:pPr>
      <w:r>
        <w:rPr>
          <w:color w:val="auto"/>
          <w:highlight w:val="none"/>
          <w:shd w:val="clear" w:color="auto" w:fill="auto"/>
        </w:rPr>
        <w:t> </w:t>
      </w:r>
    </w:p>
    <w:p w14:paraId="206AEF58">
      <w:pPr>
        <w:pStyle w:val="32"/>
        <w:spacing w:beforeAutospacing="0" w:afterAutospacing="0"/>
        <w:jc w:val="both"/>
        <w:rPr>
          <w:color w:val="auto"/>
          <w:highlight w:val="none"/>
          <w:shd w:val="clear" w:color="auto" w:fill="auto"/>
        </w:rPr>
      </w:pPr>
      <w:r>
        <w:rPr>
          <w:color w:val="auto"/>
          <w:highlight w:val="none"/>
          <w:shd w:val="clear" w:color="auto" w:fill="auto"/>
        </w:rPr>
        <w:t> </w:t>
      </w:r>
    </w:p>
    <w:p w14:paraId="21BB9942">
      <w:pPr>
        <w:pStyle w:val="32"/>
        <w:spacing w:beforeAutospacing="0" w:afterAutospacing="0"/>
        <w:jc w:val="both"/>
        <w:rPr>
          <w:color w:val="auto"/>
          <w:highlight w:val="none"/>
          <w:shd w:val="clear" w:color="auto" w:fill="auto"/>
        </w:rPr>
      </w:pPr>
      <w:r>
        <w:rPr>
          <w:color w:val="auto"/>
          <w:highlight w:val="none"/>
          <w:shd w:val="clear" w:color="auto" w:fill="auto"/>
        </w:rPr>
        <w:t> </w:t>
      </w:r>
    </w:p>
    <w:p w14:paraId="617DD773">
      <w:pPr>
        <w:pStyle w:val="32"/>
        <w:spacing w:beforeAutospacing="0" w:afterAutospacing="0"/>
        <w:jc w:val="both"/>
        <w:rPr>
          <w:color w:val="auto"/>
          <w:highlight w:val="none"/>
          <w:shd w:val="clear" w:color="auto" w:fill="auto"/>
        </w:rPr>
      </w:pPr>
      <w:r>
        <w:rPr>
          <w:color w:val="auto"/>
          <w:highlight w:val="none"/>
          <w:shd w:val="clear" w:color="auto" w:fill="auto"/>
        </w:rPr>
        <w:t> </w:t>
      </w:r>
    </w:p>
    <w:p w14:paraId="17F3DB1D">
      <w:pPr>
        <w:pStyle w:val="32"/>
        <w:spacing w:beforeAutospacing="0" w:afterAutospacing="0"/>
        <w:jc w:val="both"/>
        <w:rPr>
          <w:color w:val="auto"/>
          <w:highlight w:val="none"/>
          <w:shd w:val="clear" w:color="auto" w:fill="auto"/>
        </w:rPr>
      </w:pPr>
      <w:r>
        <w:rPr>
          <w:color w:val="auto"/>
          <w:highlight w:val="none"/>
          <w:shd w:val="clear" w:color="auto" w:fill="auto"/>
        </w:rPr>
        <w:t> </w:t>
      </w:r>
    </w:p>
    <w:p w14:paraId="31486DCA">
      <w:pPr>
        <w:pStyle w:val="32"/>
        <w:spacing w:beforeAutospacing="0" w:afterAutospacing="0"/>
        <w:jc w:val="both"/>
        <w:rPr>
          <w:color w:val="auto"/>
          <w:highlight w:val="none"/>
          <w:shd w:val="clear" w:color="auto" w:fill="auto"/>
        </w:rPr>
      </w:pPr>
      <w:r>
        <w:rPr>
          <w:color w:val="auto"/>
          <w:highlight w:val="none"/>
          <w:shd w:val="clear" w:color="auto" w:fill="auto"/>
        </w:rPr>
        <w:t> </w:t>
      </w:r>
    </w:p>
    <w:p w14:paraId="7AB58739">
      <w:pPr>
        <w:pStyle w:val="32"/>
        <w:spacing w:beforeAutospacing="0" w:afterAutospacing="0"/>
        <w:jc w:val="both"/>
        <w:rPr>
          <w:color w:val="auto"/>
          <w:highlight w:val="none"/>
          <w:shd w:val="clear" w:color="auto" w:fill="auto"/>
        </w:rPr>
      </w:pPr>
      <w:r>
        <w:rPr>
          <w:color w:val="auto"/>
          <w:highlight w:val="none"/>
          <w:shd w:val="clear" w:color="auto" w:fill="auto"/>
        </w:rPr>
        <w:t> </w:t>
      </w:r>
    </w:p>
    <w:p w14:paraId="75CE769B">
      <w:pPr>
        <w:pStyle w:val="32"/>
        <w:spacing w:beforeAutospacing="0" w:afterAutospacing="0"/>
        <w:jc w:val="both"/>
        <w:rPr>
          <w:color w:val="auto"/>
          <w:highlight w:val="none"/>
          <w:shd w:val="clear" w:color="auto" w:fill="auto"/>
        </w:rPr>
      </w:pPr>
      <w:r>
        <w:rPr>
          <w:color w:val="auto"/>
          <w:highlight w:val="none"/>
          <w:shd w:val="clear" w:color="auto" w:fill="auto"/>
        </w:rPr>
        <w:t> </w:t>
      </w:r>
    </w:p>
    <w:p w14:paraId="145BF5A3">
      <w:pPr>
        <w:pStyle w:val="32"/>
        <w:spacing w:beforeAutospacing="0" w:afterAutospacing="0"/>
        <w:jc w:val="both"/>
        <w:rPr>
          <w:color w:val="auto"/>
          <w:highlight w:val="none"/>
          <w:shd w:val="clear" w:color="auto" w:fill="auto"/>
        </w:rPr>
      </w:pPr>
      <w:r>
        <w:rPr>
          <w:color w:val="auto"/>
          <w:highlight w:val="none"/>
          <w:shd w:val="clear" w:color="auto" w:fill="auto"/>
        </w:rPr>
        <w:t> </w:t>
      </w:r>
    </w:p>
    <w:p w14:paraId="21F3074D">
      <w:pPr>
        <w:pStyle w:val="32"/>
        <w:spacing w:beforeAutospacing="0" w:afterAutospacing="0"/>
        <w:jc w:val="both"/>
        <w:rPr>
          <w:color w:val="auto"/>
          <w:highlight w:val="none"/>
          <w:shd w:val="clear" w:color="auto" w:fill="auto"/>
        </w:rPr>
      </w:pPr>
      <w:r>
        <w:rPr>
          <w:color w:val="auto"/>
          <w:highlight w:val="none"/>
          <w:shd w:val="clear" w:color="auto" w:fill="auto"/>
        </w:rPr>
        <w:t> </w:t>
      </w:r>
    </w:p>
    <w:p w14:paraId="1C10ECC6">
      <w:pPr>
        <w:pStyle w:val="32"/>
        <w:spacing w:beforeAutospacing="0" w:afterAutospacing="0"/>
        <w:jc w:val="both"/>
        <w:rPr>
          <w:color w:val="auto"/>
          <w:highlight w:val="none"/>
          <w:shd w:val="clear" w:color="auto" w:fill="auto"/>
        </w:rPr>
      </w:pPr>
      <w:r>
        <w:rPr>
          <w:color w:val="auto"/>
          <w:highlight w:val="none"/>
          <w:shd w:val="clear" w:color="auto" w:fill="auto"/>
        </w:rPr>
        <w:t> </w:t>
      </w:r>
    </w:p>
    <w:p w14:paraId="277A67E6">
      <w:pPr>
        <w:pStyle w:val="32"/>
        <w:spacing w:beforeAutospacing="0" w:afterAutospacing="0"/>
        <w:jc w:val="both"/>
        <w:rPr>
          <w:color w:val="auto"/>
          <w:highlight w:val="none"/>
          <w:shd w:val="clear" w:color="auto" w:fill="auto"/>
        </w:rPr>
      </w:pPr>
      <w:r>
        <w:rPr>
          <w:color w:val="auto"/>
          <w:highlight w:val="none"/>
          <w:shd w:val="clear" w:color="auto" w:fill="auto"/>
        </w:rPr>
        <w:t> </w:t>
      </w:r>
    </w:p>
    <w:p w14:paraId="1DDDCF74">
      <w:pPr>
        <w:pStyle w:val="32"/>
        <w:spacing w:beforeAutospacing="0" w:afterAutospacing="0"/>
        <w:jc w:val="both"/>
        <w:rPr>
          <w:color w:val="auto"/>
          <w:highlight w:val="none"/>
          <w:shd w:val="clear" w:color="auto" w:fill="auto"/>
        </w:rPr>
      </w:pPr>
      <w:r>
        <w:rPr>
          <w:color w:val="auto"/>
          <w:highlight w:val="none"/>
          <w:shd w:val="clear" w:color="auto" w:fill="auto"/>
        </w:rPr>
        <w:t> </w:t>
      </w:r>
    </w:p>
    <w:p w14:paraId="23A0B3E1">
      <w:pPr>
        <w:pStyle w:val="32"/>
        <w:spacing w:beforeAutospacing="0" w:afterAutospacing="0"/>
        <w:jc w:val="both"/>
        <w:rPr>
          <w:color w:val="auto"/>
          <w:highlight w:val="none"/>
          <w:shd w:val="clear" w:color="auto" w:fill="auto"/>
        </w:rPr>
      </w:pPr>
      <w:r>
        <w:rPr>
          <w:color w:val="auto"/>
          <w:highlight w:val="none"/>
          <w:shd w:val="clear" w:color="auto" w:fill="auto"/>
        </w:rPr>
        <w:t> </w:t>
      </w:r>
    </w:p>
    <w:p w14:paraId="08BE5363">
      <w:pPr>
        <w:pStyle w:val="32"/>
        <w:spacing w:beforeAutospacing="0" w:afterAutospacing="0"/>
        <w:jc w:val="both"/>
        <w:rPr>
          <w:color w:val="auto"/>
          <w:highlight w:val="none"/>
          <w:shd w:val="clear" w:color="auto" w:fill="auto"/>
        </w:rPr>
      </w:pPr>
      <w:r>
        <w:rPr>
          <w:color w:val="auto"/>
          <w:highlight w:val="none"/>
          <w:shd w:val="clear" w:color="auto" w:fill="auto"/>
        </w:rPr>
        <w:t> </w:t>
      </w:r>
    </w:p>
    <w:p w14:paraId="22849D6E">
      <w:pPr>
        <w:pStyle w:val="32"/>
        <w:spacing w:beforeAutospacing="0" w:afterAutospacing="0"/>
        <w:jc w:val="both"/>
        <w:rPr>
          <w:color w:val="auto"/>
          <w:highlight w:val="none"/>
          <w:shd w:val="clear" w:color="auto" w:fill="auto"/>
        </w:rPr>
      </w:pPr>
      <w:r>
        <w:rPr>
          <w:color w:val="auto"/>
          <w:highlight w:val="none"/>
          <w:shd w:val="clear" w:color="auto" w:fill="auto"/>
        </w:rPr>
        <w:t> </w:t>
      </w:r>
    </w:p>
    <w:p w14:paraId="1A97EA11">
      <w:pPr>
        <w:pStyle w:val="32"/>
        <w:spacing w:beforeAutospacing="0" w:afterAutospacing="0"/>
        <w:jc w:val="both"/>
        <w:rPr>
          <w:color w:val="auto"/>
          <w:highlight w:val="none"/>
          <w:shd w:val="clear" w:color="auto" w:fill="auto"/>
        </w:rPr>
      </w:pPr>
      <w:r>
        <w:rPr>
          <w:color w:val="auto"/>
          <w:highlight w:val="none"/>
          <w:shd w:val="clear" w:color="auto" w:fill="auto"/>
        </w:rPr>
        <w:t> </w:t>
      </w:r>
    </w:p>
    <w:p w14:paraId="2DE4FAF5">
      <w:pPr>
        <w:pStyle w:val="32"/>
        <w:spacing w:beforeAutospacing="0" w:afterAutospacing="0"/>
        <w:jc w:val="both"/>
        <w:rPr>
          <w:color w:val="auto"/>
          <w:highlight w:val="none"/>
          <w:shd w:val="clear" w:color="auto" w:fill="auto"/>
        </w:rPr>
      </w:pPr>
      <w:r>
        <w:rPr>
          <w:color w:val="auto"/>
          <w:highlight w:val="none"/>
          <w:shd w:val="clear" w:color="auto" w:fill="auto"/>
        </w:rPr>
        <w:t> </w:t>
      </w:r>
    </w:p>
    <w:p w14:paraId="23DE3BEA">
      <w:pPr>
        <w:pStyle w:val="32"/>
        <w:spacing w:beforeAutospacing="0" w:afterAutospacing="0"/>
        <w:jc w:val="both"/>
        <w:rPr>
          <w:color w:val="auto"/>
          <w:highlight w:val="none"/>
          <w:shd w:val="clear" w:color="auto" w:fill="auto"/>
        </w:rPr>
      </w:pPr>
      <w:r>
        <w:rPr>
          <w:color w:val="auto"/>
          <w:highlight w:val="none"/>
          <w:shd w:val="clear" w:color="auto" w:fill="auto"/>
        </w:rPr>
        <w:t> </w:t>
      </w:r>
    </w:p>
    <w:p w14:paraId="25B34704">
      <w:pPr>
        <w:pStyle w:val="32"/>
        <w:spacing w:beforeAutospacing="0" w:afterAutospacing="0"/>
        <w:jc w:val="both"/>
        <w:rPr>
          <w:color w:val="auto"/>
          <w:highlight w:val="none"/>
          <w:shd w:val="clear" w:color="auto" w:fill="auto"/>
        </w:rPr>
      </w:pPr>
      <w:r>
        <w:rPr>
          <w:color w:val="auto"/>
          <w:highlight w:val="none"/>
          <w:shd w:val="clear" w:color="auto" w:fill="auto"/>
        </w:rPr>
        <w:t> </w:t>
      </w:r>
    </w:p>
    <w:p w14:paraId="6CBACA1E">
      <w:pPr>
        <w:pStyle w:val="32"/>
        <w:spacing w:beforeAutospacing="0" w:afterAutospacing="0"/>
        <w:jc w:val="both"/>
        <w:rPr>
          <w:color w:val="auto"/>
          <w:highlight w:val="none"/>
          <w:shd w:val="clear" w:color="auto" w:fill="auto"/>
        </w:rPr>
      </w:pPr>
      <w:r>
        <w:rPr>
          <w:color w:val="auto"/>
          <w:highlight w:val="none"/>
          <w:shd w:val="clear" w:color="auto" w:fill="auto"/>
        </w:rPr>
        <w:t> </w:t>
      </w:r>
    </w:p>
    <w:p w14:paraId="3EA67EDB">
      <w:pPr>
        <w:pStyle w:val="32"/>
        <w:spacing w:beforeAutospacing="0" w:afterAutospacing="0"/>
        <w:jc w:val="both"/>
        <w:rPr>
          <w:color w:val="auto"/>
          <w:highlight w:val="none"/>
          <w:shd w:val="clear" w:color="auto" w:fill="auto"/>
        </w:rPr>
      </w:pPr>
      <w:r>
        <w:rPr>
          <w:color w:val="auto"/>
          <w:highlight w:val="none"/>
          <w:shd w:val="clear" w:color="auto" w:fill="auto"/>
        </w:rPr>
        <w:t> </w:t>
      </w:r>
    </w:p>
    <w:p w14:paraId="2F288F4F">
      <w:pPr>
        <w:pStyle w:val="32"/>
        <w:spacing w:beforeAutospacing="0" w:afterAutospacing="0"/>
        <w:jc w:val="both"/>
        <w:rPr>
          <w:color w:val="auto"/>
          <w:highlight w:val="none"/>
          <w:shd w:val="clear" w:color="auto" w:fill="auto"/>
        </w:rPr>
        <w:sectPr>
          <w:headerReference r:id="rId3" w:type="default"/>
          <w:pgSz w:w="11906" w:h="16838"/>
          <w:pgMar w:top="1440" w:right="1440" w:bottom="1440" w:left="1440" w:header="851" w:footer="992" w:gutter="0"/>
          <w:cols w:space="425" w:num="1"/>
          <w:docGrid w:linePitch="360" w:charSpace="0"/>
        </w:sectPr>
      </w:pPr>
    </w:p>
    <w:p w14:paraId="1E297031">
      <w:pPr>
        <w:pStyle w:val="32"/>
        <w:spacing w:beforeAutospacing="0" w:afterAutospacing="0"/>
        <w:jc w:val="both"/>
        <w:rPr>
          <w:color w:val="auto"/>
          <w:highlight w:val="none"/>
          <w:shd w:val="clear" w:color="auto" w:fill="auto"/>
        </w:rPr>
      </w:pPr>
      <w:r>
        <w:rPr>
          <w:color w:val="auto"/>
          <w:highlight w:val="none"/>
          <w:shd w:val="clear" w:color="auto" w:fill="auto"/>
        </w:rPr>
        <w:t> </w:t>
      </w:r>
      <w:bookmarkStart w:id="6" w:name="_Toc28359086"/>
    </w:p>
    <w:p w14:paraId="6DA0AC5A">
      <w:pPr>
        <w:jc w:val="center"/>
        <w:rPr>
          <w:rFonts w:hint="eastAsia"/>
          <w:sz w:val="40"/>
          <w:szCs w:val="48"/>
          <w:lang w:eastAsia="zh-CN"/>
        </w:rPr>
      </w:pPr>
      <w:r>
        <w:rPr>
          <w:rFonts w:hint="eastAsia" w:ascii="黑体" w:hAnsi="宋体" w:eastAsia="黑体" w:cs="黑体"/>
          <w:color w:val="auto"/>
          <w:sz w:val="44"/>
          <w:szCs w:val="44"/>
          <w:highlight w:val="none"/>
          <w:shd w:val="clear" w:color="auto" w:fill="auto"/>
        </w:rPr>
        <w:t xml:space="preserve">第一章  </w:t>
      </w:r>
      <w:r>
        <w:rPr>
          <w:rFonts w:hint="eastAsia" w:ascii="黑体" w:hAnsi="宋体" w:eastAsia="黑体" w:cs="黑体"/>
          <w:color w:val="auto"/>
          <w:sz w:val="44"/>
          <w:szCs w:val="44"/>
          <w:highlight w:val="none"/>
          <w:shd w:val="clear" w:color="auto" w:fill="auto"/>
          <w:lang w:val="en-US" w:eastAsia="zh-CN"/>
        </w:rPr>
        <w:t>竞争性磋商公告</w:t>
      </w:r>
    </w:p>
    <w:p w14:paraId="570E8E31">
      <w:pPr>
        <w:rPr>
          <w:rFonts w:hint="eastAsia"/>
          <w:lang w:eastAsia="zh-CN"/>
        </w:rPr>
      </w:pP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17A76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6A21A007">
            <w:pPr>
              <w:keepNext w:val="0"/>
              <w:keepLines w:val="0"/>
              <w:pageBreakBefore w:val="0"/>
              <w:widowControl w:val="0"/>
              <w:kinsoku/>
              <w:wordWrap/>
              <w:overflowPunct/>
              <w:topLinePunct w:val="0"/>
              <w:autoSpaceDE/>
              <w:autoSpaceDN/>
              <w:bidi w:val="0"/>
              <w:adjustRightInd/>
              <w:snapToGrid/>
              <w:spacing w:after="0" w:line="500" w:lineRule="exact"/>
              <w:textAlignment w:val="auto"/>
              <w:rPr>
                <w:rFonts w:hint="eastAsia"/>
                <w:lang w:eastAsia="zh-CN"/>
              </w:rPr>
            </w:pPr>
            <w:r>
              <w:rPr>
                <w:rFonts w:hint="eastAsia"/>
                <w:lang w:eastAsia="zh-CN"/>
              </w:rPr>
              <w:t>项目概况</w:t>
            </w:r>
          </w:p>
          <w:p w14:paraId="641653F6">
            <w:pPr>
              <w:keepNext w:val="0"/>
              <w:keepLines w:val="0"/>
              <w:pageBreakBefore w:val="0"/>
              <w:widowControl w:val="0"/>
              <w:kinsoku/>
              <w:wordWrap/>
              <w:overflowPunct/>
              <w:topLinePunct w:val="0"/>
              <w:autoSpaceDE/>
              <w:autoSpaceDN/>
              <w:bidi w:val="0"/>
              <w:adjustRightInd/>
              <w:snapToGrid/>
              <w:spacing w:after="0" w:line="500" w:lineRule="exact"/>
              <w:textAlignment w:val="auto"/>
              <w:rPr>
                <w:rFonts w:hint="eastAsia"/>
                <w:vertAlign w:val="baseline"/>
                <w:lang w:eastAsia="zh-CN"/>
              </w:rPr>
            </w:pPr>
            <w:r>
              <w:rPr>
                <w:rFonts w:hint="eastAsia"/>
                <w:lang w:eastAsia="zh-CN"/>
              </w:rPr>
              <w:t>射阳港经济开发区美食广场等物业服务项目采购项目 JSZC-320924-JZCG-C2026-0016 采购项目的潜在供应商应在苏采云”系统内免费下载（供应商必须在苏采云系统中获取磋商文件，方能参与政府采购项目） 获取采购文件，并于2026-0</w:t>
            </w:r>
            <w:r>
              <w:rPr>
                <w:rFonts w:hint="eastAsia"/>
                <w:lang w:val="en-US" w:eastAsia="zh-CN"/>
              </w:rPr>
              <w:t>6</w:t>
            </w:r>
            <w:r>
              <w:rPr>
                <w:rFonts w:hint="eastAsia"/>
                <w:lang w:eastAsia="zh-CN"/>
              </w:rPr>
              <w:t>-</w:t>
            </w:r>
            <w:r>
              <w:rPr>
                <w:rFonts w:hint="eastAsia"/>
                <w:lang w:val="en-US" w:eastAsia="zh-CN"/>
              </w:rPr>
              <w:t xml:space="preserve">02  </w:t>
            </w:r>
            <w:r>
              <w:rPr>
                <w:rFonts w:hint="eastAsia"/>
                <w:lang w:eastAsia="zh-CN"/>
              </w:rPr>
              <w:t xml:space="preserve"> 09:00 （北京时间）前提交响应文件。</w:t>
            </w:r>
          </w:p>
        </w:tc>
      </w:tr>
    </w:tbl>
    <w:p w14:paraId="21160D7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p>
    <w:p w14:paraId="41379E1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一、项目基本情况</w:t>
      </w:r>
    </w:p>
    <w:p w14:paraId="6012F5E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项目编号：JSZC-320924-JZCG-C2026-0016 </w:t>
      </w:r>
    </w:p>
    <w:p w14:paraId="4EAB439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项目名称：射阳港经济开发区美食广场等物业服务项目 </w:t>
      </w:r>
    </w:p>
    <w:p w14:paraId="2E9D6B5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采购方式：竞争性磋商 </w:t>
      </w:r>
    </w:p>
    <w:p w14:paraId="3524D90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预算金额：</w:t>
      </w:r>
      <w:r>
        <w:rPr>
          <w:rFonts w:hint="eastAsia"/>
          <w:lang w:val="en-US" w:eastAsia="zh-CN"/>
        </w:rPr>
        <w:t>185</w:t>
      </w:r>
      <w:r>
        <w:rPr>
          <w:rFonts w:hint="eastAsia"/>
          <w:lang w:eastAsia="zh-CN"/>
        </w:rPr>
        <w:t>.00万元 </w:t>
      </w:r>
    </w:p>
    <w:p w14:paraId="4A592CC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最高限价（如有）：</w:t>
      </w:r>
      <w:r>
        <w:rPr>
          <w:rFonts w:hint="eastAsia"/>
          <w:lang w:val="en-US" w:eastAsia="zh-CN"/>
        </w:rPr>
        <w:t>185</w:t>
      </w:r>
      <w:r>
        <w:rPr>
          <w:rFonts w:hint="eastAsia"/>
          <w:lang w:eastAsia="zh-CN"/>
        </w:rPr>
        <w:t>.00万元/年 </w:t>
      </w:r>
    </w:p>
    <w:p w14:paraId="3B86370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采购需求：射阳港经济开发区美食广场等物业服务项目，主要为保安、卫生保洁、</w:t>
      </w:r>
      <w:r>
        <w:rPr>
          <w:rFonts w:hint="eastAsia"/>
          <w:lang w:val="en-US" w:eastAsia="zh-CN"/>
        </w:rPr>
        <w:t>工程维修</w:t>
      </w:r>
      <w:r>
        <w:rPr>
          <w:rFonts w:hint="eastAsia"/>
          <w:lang w:eastAsia="zh-CN"/>
        </w:rPr>
        <w:t>等服务。配备服务人员计</w:t>
      </w:r>
      <w:r>
        <w:rPr>
          <w:rFonts w:hint="eastAsia"/>
          <w:lang w:val="en-US" w:eastAsia="zh-CN"/>
        </w:rPr>
        <w:t>22</w:t>
      </w:r>
      <w:r>
        <w:rPr>
          <w:rFonts w:hint="eastAsia"/>
          <w:lang w:eastAsia="zh-CN"/>
        </w:rPr>
        <w:t>人，其中项目负责人</w:t>
      </w:r>
      <w:r>
        <w:rPr>
          <w:rFonts w:hint="eastAsia"/>
          <w:lang w:val="en-US" w:eastAsia="zh-CN"/>
        </w:rPr>
        <w:t>1个，保安主管1人，</w:t>
      </w:r>
      <w:r>
        <w:rPr>
          <w:rFonts w:hint="eastAsia"/>
          <w:lang w:eastAsia="zh-CN"/>
        </w:rPr>
        <w:t>保安</w:t>
      </w:r>
      <w:r>
        <w:rPr>
          <w:rFonts w:hint="eastAsia"/>
          <w:lang w:val="en-US" w:eastAsia="zh-CN"/>
        </w:rPr>
        <w:t>11</w:t>
      </w:r>
      <w:r>
        <w:rPr>
          <w:rFonts w:hint="eastAsia"/>
          <w:lang w:eastAsia="zh-CN"/>
        </w:rPr>
        <w:t>人（需值夜班），保洁</w:t>
      </w:r>
      <w:r>
        <w:rPr>
          <w:rFonts w:hint="eastAsia"/>
          <w:lang w:val="en-US" w:eastAsia="zh-CN"/>
        </w:rPr>
        <w:t>7</w:t>
      </w:r>
      <w:r>
        <w:rPr>
          <w:rFonts w:hint="eastAsia"/>
          <w:lang w:eastAsia="zh-CN"/>
        </w:rPr>
        <w:t>人，</w:t>
      </w:r>
      <w:r>
        <w:rPr>
          <w:rFonts w:hint="eastAsia"/>
          <w:lang w:val="en-US" w:eastAsia="zh-CN"/>
        </w:rPr>
        <w:t xml:space="preserve"> 维修人员2人，男性</w:t>
      </w:r>
      <w:r>
        <w:rPr>
          <w:rFonts w:hint="eastAsia"/>
          <w:lang w:eastAsia="zh-CN"/>
        </w:rPr>
        <w:t>年龄不得高于</w:t>
      </w:r>
      <w:r>
        <w:rPr>
          <w:rFonts w:hint="eastAsia"/>
          <w:lang w:val="en-US" w:eastAsia="zh-CN"/>
        </w:rPr>
        <w:t>60</w:t>
      </w:r>
      <w:r>
        <w:rPr>
          <w:rFonts w:hint="eastAsia"/>
          <w:lang w:eastAsia="zh-CN"/>
        </w:rPr>
        <w:t>周岁，</w:t>
      </w:r>
      <w:r>
        <w:rPr>
          <w:rFonts w:hint="eastAsia"/>
          <w:lang w:val="en-US" w:eastAsia="zh-CN"/>
        </w:rPr>
        <w:t>女性</w:t>
      </w:r>
      <w:r>
        <w:rPr>
          <w:rFonts w:hint="eastAsia"/>
          <w:lang w:eastAsia="zh-CN"/>
        </w:rPr>
        <w:t>年龄不得高于</w:t>
      </w:r>
      <w:r>
        <w:rPr>
          <w:rFonts w:hint="eastAsia"/>
          <w:lang w:val="en-US" w:eastAsia="zh-CN"/>
        </w:rPr>
        <w:t>55</w:t>
      </w:r>
      <w:r>
        <w:rPr>
          <w:rFonts w:hint="eastAsia"/>
          <w:lang w:eastAsia="zh-CN"/>
        </w:rPr>
        <w:t>周岁。具体要求详见采购文件采购需求，采购人保留对采购需求进行适当调整的权利。</w:t>
      </w:r>
    </w:p>
    <w:p w14:paraId="1F1B0D9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合同履行期限：贰年(合同一年一签，经采购人考核合格后续签下一年合同)。 </w:t>
      </w:r>
    </w:p>
    <w:p w14:paraId="379A309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本项目（是/否）接受联合体：否 </w:t>
      </w:r>
    </w:p>
    <w:p w14:paraId="4DDC3AF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二、申请人的资格要求：</w:t>
      </w:r>
    </w:p>
    <w:p w14:paraId="0AA2185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（一）满足《中华人民共和国政府采购法》第二十二条规定：</w:t>
      </w:r>
    </w:p>
    <w:p w14:paraId="71D3190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1.法人或者其他组织的营业执照等证明文件，自然人的身份证明。</w:t>
      </w:r>
    </w:p>
    <w:p w14:paraId="26F34CA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2.上一年度的财务状况报表（成立不满一年无需提供）。</w:t>
      </w:r>
    </w:p>
    <w:p w14:paraId="20A2DF5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3.具备履行合同所必需的设备和专业技术能力的书面声明。</w:t>
      </w:r>
    </w:p>
    <w:p w14:paraId="2234FE7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4.依法缴纳税收和社会保障资金的相关材料（提供提交响应文件截止时间前一年内至少一个月依法缴纳税收及缴纳社会保障资金的证明材料。供应商依法享受缓缴、免缴税收、社会保障资金的提供证明材料。）</w:t>
      </w:r>
    </w:p>
    <w:p w14:paraId="72051BB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5.参加政府采购活动前3年内在经营活动中没有重大违法记录的书面声明。</w:t>
      </w:r>
    </w:p>
    <w:p w14:paraId="2BBC9D2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6.法律、行政法规规定的其他条件。</w:t>
      </w:r>
    </w:p>
    <w:p w14:paraId="47DD804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6CBBB61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8.单位负责人为同一人或者存在直接控股、管理关系的不同供应商，不得参加同一合同项下的政府采购活动。</w:t>
      </w:r>
    </w:p>
    <w:p w14:paraId="7F11A23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（二）落实政府采购政策需满足的资格要求：</w:t>
      </w:r>
    </w:p>
    <w:p w14:paraId="62059FB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1.本项目专门面向中小微企业采购，不接受非中小微型企业参与本项目投标。采购标的的所属行业为物业管理，供应商需按照招标文件的要求提供相应的《中小企业声明函》。企业标准请参照《关于印发中小企业划型标准规定的通知》（工信部联企业〔2011〕300号）文件规定自行填写。</w:t>
      </w:r>
    </w:p>
    <w:p w14:paraId="4E71AC7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（三）本项目的特定资格要求：</w:t>
      </w:r>
    </w:p>
    <w:p w14:paraId="15C59017">
      <w:pPr>
        <w:keepNext w:val="0"/>
        <w:keepLines w:val="0"/>
        <w:pageBreakBefore w:val="0"/>
        <w:widowControl w:val="0"/>
        <w:kinsoku/>
        <w:wordWrap/>
        <w:overflowPunct/>
        <w:topLinePunct w:val="0"/>
        <w:autoSpaceDE/>
        <w:autoSpaceDN/>
        <w:bidi w:val="0"/>
        <w:adjustRightInd/>
        <w:snapToGrid/>
        <w:spacing w:line="500" w:lineRule="exact"/>
        <w:ind w:firstLine="630" w:firstLineChars="300"/>
        <w:textAlignment w:val="auto"/>
        <w:rPr>
          <w:rFonts w:hint="eastAsia"/>
          <w:lang w:eastAsia="zh-CN"/>
        </w:rPr>
      </w:pPr>
      <w:r>
        <w:rPr>
          <w:rFonts w:hint="eastAsia"/>
          <w:lang w:eastAsia="zh-CN"/>
        </w:rPr>
        <w:t>/</w:t>
      </w:r>
    </w:p>
    <w:p w14:paraId="5AF5BD3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三、获取采购文件</w:t>
      </w:r>
    </w:p>
    <w:p w14:paraId="5959D84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时间：自磋商文件公告发布之日起5个工作日 </w:t>
      </w:r>
    </w:p>
    <w:p w14:paraId="7CF52BE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地点：苏采云”系统内免费下载（供应商必须在苏采云系统中获取磋商文件，方能参与政府采购项目）</w:t>
      </w:r>
    </w:p>
    <w:p w14:paraId="2F3AEFD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方式：本项目采用网上注册登记方式 </w:t>
      </w:r>
    </w:p>
    <w:p w14:paraId="5D129D4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售价：0.00元 </w:t>
      </w:r>
    </w:p>
    <w:p w14:paraId="20A65C6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四、响应文件提交</w:t>
      </w:r>
    </w:p>
    <w:p w14:paraId="0A25B28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color w:val="0000FF"/>
          <w:lang w:eastAsia="zh-CN"/>
        </w:rPr>
      </w:pPr>
      <w:r>
        <w:rPr>
          <w:rFonts w:hint="eastAsia"/>
          <w:color w:val="0000FF"/>
          <w:lang w:eastAsia="zh-CN"/>
        </w:rPr>
        <w:t>截止时间：2026-0</w:t>
      </w:r>
      <w:r>
        <w:rPr>
          <w:rFonts w:hint="eastAsia"/>
          <w:color w:val="0000FF"/>
          <w:lang w:val="en-US" w:eastAsia="zh-CN"/>
        </w:rPr>
        <w:t>6</w:t>
      </w:r>
      <w:r>
        <w:rPr>
          <w:rFonts w:hint="eastAsia"/>
          <w:color w:val="0000FF"/>
          <w:lang w:eastAsia="zh-CN"/>
        </w:rPr>
        <w:t>-</w:t>
      </w:r>
      <w:r>
        <w:rPr>
          <w:rFonts w:hint="eastAsia"/>
          <w:color w:val="0000FF"/>
          <w:lang w:val="en-US" w:eastAsia="zh-CN"/>
        </w:rPr>
        <w:t xml:space="preserve">02  </w:t>
      </w:r>
      <w:r>
        <w:rPr>
          <w:rFonts w:hint="eastAsia"/>
          <w:color w:val="0000FF"/>
          <w:lang w:eastAsia="zh-CN"/>
        </w:rPr>
        <w:t xml:space="preserve"> 09:00 （北京时间）</w:t>
      </w:r>
    </w:p>
    <w:p w14:paraId="43810D9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地点：苏采云“不见面”开标大厅  </w:t>
      </w:r>
    </w:p>
    <w:p w14:paraId="49F733B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五、开启</w:t>
      </w:r>
    </w:p>
    <w:p w14:paraId="60B3841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时间：2026-0</w:t>
      </w:r>
      <w:r>
        <w:rPr>
          <w:rFonts w:hint="eastAsia"/>
          <w:lang w:val="en-US" w:eastAsia="zh-CN"/>
        </w:rPr>
        <w:t>6</w:t>
      </w:r>
      <w:r>
        <w:rPr>
          <w:rFonts w:hint="eastAsia"/>
          <w:lang w:eastAsia="zh-CN"/>
        </w:rPr>
        <w:t>-</w:t>
      </w:r>
      <w:r>
        <w:rPr>
          <w:rFonts w:hint="eastAsia"/>
          <w:lang w:val="en-US" w:eastAsia="zh-CN"/>
        </w:rPr>
        <w:t xml:space="preserve">02   </w:t>
      </w:r>
      <w:r>
        <w:rPr>
          <w:rFonts w:hint="eastAsia"/>
          <w:lang w:eastAsia="zh-CN"/>
        </w:rPr>
        <w:t>09:00 （北京时间）</w:t>
      </w:r>
    </w:p>
    <w:p w14:paraId="0E06DD0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地点：射阳县市民中心8楼开标一室 </w:t>
      </w:r>
    </w:p>
    <w:p w14:paraId="1507D1E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六、公告期限</w:t>
      </w:r>
    </w:p>
    <w:p w14:paraId="4DDDE06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自本公告发布之日起</w:t>
      </w:r>
      <w:r>
        <w:rPr>
          <w:rFonts w:hint="eastAsia"/>
          <w:lang w:val="en-US" w:eastAsia="zh-CN"/>
        </w:rPr>
        <w:t>5</w:t>
      </w:r>
      <w:r>
        <w:rPr>
          <w:rFonts w:hint="eastAsia"/>
          <w:lang w:eastAsia="zh-CN"/>
        </w:rPr>
        <w:t>个工作日。</w:t>
      </w:r>
    </w:p>
    <w:p w14:paraId="2AFD764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七、其他补充事宜</w:t>
      </w:r>
    </w:p>
    <w:p w14:paraId="4B02D86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p>
    <w:p w14:paraId="07F2F1B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p>
    <w:p w14:paraId="475D98B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2. 有关本次磋商的事项若存在变动或修改，敬请及时关注射阳县行政服务中心 在“中国政府采购网”、“江苏政府采购网”、“盐城市政府采购网”发布的更正公告。</w:t>
      </w:r>
    </w:p>
    <w:p w14:paraId="3F8AAAB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3. 潜在供应商访问电子招标响应交易平台的网络地址和方法：</w:t>
      </w:r>
    </w:p>
    <w:p w14:paraId="03AA754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3.1“苏采云”系统用户注册--获取“CA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w:t>
      </w:r>
    </w:p>
    <w:p w14:paraId="4DBC766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3.2 潜在供应商访问“苏采云”系统方法：江苏省政府采购网首页-“苏采云”链接。</w:t>
      </w:r>
    </w:p>
    <w:p w14:paraId="1D8C5C6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3.3 磋商文件（后缀名为“.kedt”）、供应商操作手册及政府采购客户端 工具可通过“苏采云”系统相应链接进行下载。</w:t>
      </w:r>
    </w:p>
    <w:p w14:paraId="04BEFDC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3.4 采购代理机构将数据电文形式的磋商文件加载至“苏采云”系统，供潜在供应商下载或者查阅。</w:t>
      </w:r>
    </w:p>
    <w:p w14:paraId="50EF93B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3.5 请潜在投标单位提前安装相应的控件（详见《“苏采云”系统供应商操作手册》）并使用谷歌浏览器登录“苏采云”系统参与不见面开评标。</w:t>
      </w:r>
    </w:p>
    <w:p w14:paraId="44D15ED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如潜在供应商未按上述要求操作，将自行承担所产生的风险。</w:t>
      </w:r>
    </w:p>
    <w:p w14:paraId="6592BC5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4. 本次磋商不收取磋商保证金，不收取质量保证金。</w:t>
      </w:r>
    </w:p>
    <w:p w14:paraId="28589A7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八、凡对本次采购提出询问，请按以下方式联系。</w:t>
      </w:r>
    </w:p>
    <w:p w14:paraId="0D63797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1.采购人信息</w:t>
      </w:r>
    </w:p>
    <w:p w14:paraId="12BCD23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单位名称：江苏射阳港经济开发区管理委员会</w:t>
      </w:r>
    </w:p>
    <w:p w14:paraId="3A3DE25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单位地址：射阳县射阳港经济开发区</w:t>
      </w:r>
    </w:p>
    <w:p w14:paraId="3B1EE07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联系人：武传芳</w:t>
      </w:r>
    </w:p>
    <w:p w14:paraId="1A93363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联系电话：15251050567</w:t>
      </w:r>
    </w:p>
    <w:p w14:paraId="756A64F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2.采购代理机构信息（如有）</w:t>
      </w:r>
    </w:p>
    <w:p w14:paraId="6FAEFE9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单位名称：射阳县行政服务中心</w:t>
      </w:r>
    </w:p>
    <w:p w14:paraId="12977F5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单位地址：盐城市射阳县幸福大道16号</w:t>
      </w:r>
    </w:p>
    <w:p w14:paraId="288355D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联系人：彭明静</w:t>
      </w:r>
    </w:p>
    <w:p w14:paraId="7C8BABB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联系电话：0515-82309113</w:t>
      </w:r>
    </w:p>
    <w:p w14:paraId="5D26F73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3.项目联系方式</w:t>
      </w:r>
    </w:p>
    <w:p w14:paraId="52BBCB8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项目联系人：彭明静</w:t>
      </w:r>
    </w:p>
    <w:p w14:paraId="28D3302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电话：0515-82309113</w:t>
      </w:r>
    </w:p>
    <w:p w14:paraId="31E5D08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rPr>
      </w:pPr>
    </w:p>
    <w:p w14:paraId="1482224E">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80" w:lineRule="exact"/>
        <w:ind w:left="0" w:right="0" w:firstLine="48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w:t>
      </w:r>
    </w:p>
    <w:p w14:paraId="2177C827">
      <w:pPr>
        <w:pageBreakBefore w:val="0"/>
        <w:spacing w:line="480" w:lineRule="exact"/>
        <w:rPr>
          <w:color w:val="auto"/>
          <w:highlight w:val="none"/>
          <w:shd w:val="clear" w:color="auto" w:fill="auto"/>
        </w:rPr>
      </w:pPr>
      <w:r>
        <w:rPr>
          <w:rFonts w:hint="eastAsia" w:ascii="宋体" w:hAnsi="宋体" w:eastAsia="宋体" w:cs="宋体"/>
          <w:b/>
          <w:color w:val="auto"/>
          <w:sz w:val="24"/>
          <w:szCs w:val="24"/>
          <w:highlight w:val="none"/>
          <w:shd w:val="clear" w:color="auto" w:fill="auto"/>
        </w:rPr>
        <w:br w:type="page" w:clear="all"/>
      </w:r>
    </w:p>
    <w:p w14:paraId="0A34DDAC">
      <w:pPr>
        <w:pStyle w:val="32"/>
        <w:keepNext/>
        <w:keepLines/>
        <w:spacing w:before="260" w:beforeAutospacing="0" w:after="260" w:afterAutospacing="0" w:line="415" w:lineRule="auto"/>
        <w:jc w:val="center"/>
        <w:rPr>
          <w:color w:val="auto"/>
          <w:highlight w:val="none"/>
          <w:shd w:val="clear" w:color="auto" w:fill="auto"/>
        </w:rPr>
      </w:pPr>
      <w:bookmarkStart w:id="7" w:name="_Toc120614211"/>
      <w:r>
        <w:rPr>
          <w:rFonts w:hint="eastAsia" w:ascii="黑体" w:hAnsi="宋体" w:eastAsia="黑体" w:cs="黑体"/>
          <w:b/>
          <w:color w:val="auto"/>
          <w:sz w:val="44"/>
          <w:szCs w:val="44"/>
          <w:highlight w:val="none"/>
          <w:shd w:val="clear" w:color="auto" w:fill="auto"/>
        </w:rPr>
        <w:t xml:space="preserve">第二章  </w:t>
      </w:r>
      <w:bookmarkEnd w:id="7"/>
      <w:r>
        <w:rPr>
          <w:rFonts w:hint="eastAsia" w:ascii="黑体" w:hAnsi="宋体" w:eastAsia="黑体" w:cs="黑体"/>
          <w:b/>
          <w:color w:val="auto"/>
          <w:sz w:val="44"/>
          <w:szCs w:val="44"/>
          <w:highlight w:val="none"/>
          <w:shd w:val="clear" w:color="auto" w:fill="auto"/>
        </w:rPr>
        <w:t>供应商须知</w:t>
      </w:r>
    </w:p>
    <w:p w14:paraId="0B7DE31A">
      <w:pPr>
        <w:pStyle w:val="32"/>
        <w:keepNext/>
        <w:keepLines/>
        <w:pageBreakBefore w:val="0"/>
        <w:widowControl w:val="0"/>
        <w:spacing w:beforeAutospacing="0" w:afterAutospacing="0" w:line="460" w:lineRule="exact"/>
        <w:ind w:left="0" w:firstLine="498"/>
        <w:jc w:val="both"/>
        <w:rPr>
          <w:rFonts w:hint="eastAsia" w:ascii="宋体" w:hAnsi="宋体" w:eastAsia="宋体" w:cs="宋体"/>
          <w:color w:val="auto"/>
          <w:sz w:val="24"/>
          <w:szCs w:val="24"/>
          <w:highlight w:val="none"/>
          <w:shd w:val="clear" w:color="auto" w:fill="auto"/>
        </w:rPr>
      </w:pPr>
      <w:bookmarkStart w:id="8" w:name="_Toc20823275"/>
      <w:bookmarkStart w:id="9" w:name="_Toc16938519"/>
      <w:bookmarkStart w:id="10" w:name="_Toc513029203"/>
      <w:bookmarkStart w:id="11" w:name="_Toc120614214"/>
      <w:r>
        <w:rPr>
          <w:rFonts w:hint="eastAsia" w:ascii="宋体" w:hAnsi="宋体" w:eastAsia="宋体" w:cs="宋体"/>
          <w:b/>
          <w:color w:val="auto"/>
          <w:sz w:val="24"/>
          <w:szCs w:val="24"/>
          <w:highlight w:val="none"/>
          <w:shd w:val="clear" w:color="auto" w:fill="auto"/>
        </w:rPr>
        <w:t>一、总则</w:t>
      </w:r>
      <w:bookmarkEnd w:id="8"/>
      <w:bookmarkEnd w:id="9"/>
      <w:bookmarkEnd w:id="10"/>
      <w:bookmarkEnd w:id="11"/>
    </w:p>
    <w:p w14:paraId="48F08D01">
      <w:pPr>
        <w:pStyle w:val="32"/>
        <w:keepNext/>
        <w:keepLines/>
        <w:pageBreakBefore w:val="0"/>
        <w:widowControl w:val="0"/>
        <w:spacing w:beforeAutospacing="0" w:afterAutospacing="0" w:line="460" w:lineRule="exact"/>
        <w:ind w:left="0" w:firstLine="420"/>
        <w:jc w:val="both"/>
        <w:rPr>
          <w:rFonts w:hint="eastAsia" w:ascii="宋体" w:hAnsi="宋体" w:eastAsia="宋体" w:cs="宋体"/>
          <w:color w:val="auto"/>
          <w:sz w:val="24"/>
          <w:szCs w:val="24"/>
          <w:highlight w:val="none"/>
          <w:shd w:val="clear" w:color="auto" w:fill="auto"/>
        </w:rPr>
      </w:pPr>
      <w:bookmarkStart w:id="12" w:name="_Toc20823276"/>
      <w:bookmarkStart w:id="13" w:name="_Toc16938520"/>
      <w:bookmarkStart w:id="14" w:name="_Toc513029204"/>
      <w:bookmarkStart w:id="15" w:name="_Toc458694821"/>
      <w:bookmarkStart w:id="16" w:name="_Hlt16619475"/>
      <w:r>
        <w:rPr>
          <w:rFonts w:hint="eastAsia" w:ascii="宋体" w:hAnsi="宋体" w:eastAsia="宋体" w:cs="宋体"/>
          <w:color w:val="auto"/>
          <w:sz w:val="24"/>
          <w:szCs w:val="24"/>
          <w:highlight w:val="none"/>
          <w:shd w:val="clear" w:color="auto" w:fill="auto"/>
        </w:rPr>
        <w:t>1</w:t>
      </w:r>
      <w:bookmarkEnd w:id="12"/>
      <w:r>
        <w:rPr>
          <w:rFonts w:hint="eastAsia" w:ascii="宋体" w:hAnsi="宋体" w:eastAsia="宋体" w:cs="宋体"/>
          <w:color w:val="auto"/>
          <w:sz w:val="24"/>
          <w:szCs w:val="24"/>
          <w:highlight w:val="none"/>
          <w:shd w:val="clear" w:color="auto" w:fill="auto"/>
        </w:rPr>
        <w:t>、采购方式</w:t>
      </w:r>
      <w:bookmarkEnd w:id="13"/>
      <w:bookmarkEnd w:id="14"/>
      <w:bookmarkEnd w:id="15"/>
    </w:p>
    <w:p w14:paraId="220A5868">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 本次政府采购活动采取竞争性磋商(以下简称磋商)方式，本磋商文件仅适用于磋商公告中所述项目。</w:t>
      </w:r>
    </w:p>
    <w:p w14:paraId="3F5D1393">
      <w:pPr>
        <w:pStyle w:val="32"/>
        <w:keepNext/>
        <w:keepLines/>
        <w:pageBreakBefore w:val="0"/>
        <w:widowControl w:val="0"/>
        <w:spacing w:beforeAutospacing="0" w:afterAutospacing="0" w:line="460" w:lineRule="exact"/>
        <w:ind w:left="0" w:firstLine="420"/>
        <w:jc w:val="both"/>
        <w:rPr>
          <w:rFonts w:hint="eastAsia" w:ascii="宋体" w:hAnsi="宋体" w:eastAsia="宋体" w:cs="宋体"/>
          <w:color w:val="auto"/>
          <w:sz w:val="24"/>
          <w:szCs w:val="24"/>
          <w:highlight w:val="none"/>
          <w:shd w:val="clear" w:color="auto" w:fill="auto"/>
        </w:rPr>
      </w:pPr>
      <w:bookmarkStart w:id="17" w:name="_Toc20823277"/>
      <w:bookmarkStart w:id="18" w:name="_Toc16938521"/>
      <w:bookmarkStart w:id="19" w:name="_Toc513029205"/>
      <w:r>
        <w:rPr>
          <w:rFonts w:hint="eastAsia" w:ascii="宋体" w:hAnsi="宋体" w:eastAsia="宋体" w:cs="宋体"/>
          <w:color w:val="auto"/>
          <w:sz w:val="24"/>
          <w:szCs w:val="24"/>
          <w:highlight w:val="none"/>
          <w:shd w:val="clear" w:color="auto" w:fill="auto"/>
        </w:rPr>
        <w:t>2、合格的</w:t>
      </w:r>
      <w:bookmarkEnd w:id="17"/>
      <w:bookmarkEnd w:id="18"/>
      <w:bookmarkEnd w:id="19"/>
      <w:r>
        <w:rPr>
          <w:rFonts w:hint="eastAsia" w:ascii="宋体" w:hAnsi="宋体" w:eastAsia="宋体" w:cs="宋体"/>
          <w:color w:val="auto"/>
          <w:sz w:val="24"/>
          <w:szCs w:val="24"/>
          <w:highlight w:val="none"/>
          <w:shd w:val="clear" w:color="auto" w:fill="auto"/>
        </w:rPr>
        <w:t>供应商</w:t>
      </w:r>
    </w:p>
    <w:p w14:paraId="5262A554">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2.1满足磋商公告中供应商资格要求的规定。</w:t>
      </w:r>
    </w:p>
    <w:p w14:paraId="019456B6">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 满足本磋商文件实质性要求和条件的规定。</w:t>
      </w:r>
    </w:p>
    <w:p w14:paraId="5F64CE09">
      <w:pPr>
        <w:pageBreakBefore w:val="0"/>
        <w:widowControl w:val="0"/>
        <w:spacing w:line="460" w:lineRule="exact"/>
        <w:ind w:left="0" w:firstLine="420"/>
        <w:rPr>
          <w:rFonts w:hint="eastAsia" w:ascii="宋体" w:hAnsi="宋体" w:eastAsia="宋体" w:cs="宋体"/>
          <w:color w:val="auto"/>
          <w:sz w:val="24"/>
          <w:szCs w:val="24"/>
        </w:rPr>
      </w:pPr>
      <w:bookmarkStart w:id="20" w:name="_Toc20823278"/>
      <w:bookmarkStart w:id="21" w:name="_Toc513029206"/>
      <w:bookmarkStart w:id="22" w:name="_Toc16938522"/>
      <w:bookmarkStart w:id="23" w:name="_Toc16938523"/>
      <w:bookmarkStart w:id="24" w:name="_Toc462564067"/>
      <w:bookmarkStart w:id="25" w:name="_Toc20823279"/>
      <w:bookmarkStart w:id="26" w:name="_Toc513029207"/>
      <w:r>
        <w:rPr>
          <w:rFonts w:hint="eastAsia" w:ascii="宋体" w:hAnsi="宋体" w:eastAsia="宋体" w:cs="宋体"/>
          <w:color w:val="auto"/>
          <w:sz w:val="24"/>
          <w:szCs w:val="24"/>
        </w:rPr>
        <w:t>3、适用法律</w:t>
      </w:r>
      <w:bookmarkEnd w:id="20"/>
      <w:bookmarkEnd w:id="21"/>
      <w:bookmarkEnd w:id="22"/>
      <w:r>
        <w:rPr>
          <w:rFonts w:hint="eastAsia" w:ascii="宋体" w:hAnsi="宋体" w:eastAsia="宋体" w:cs="宋体"/>
          <w:color w:val="auto"/>
          <w:sz w:val="24"/>
          <w:szCs w:val="24"/>
        </w:rPr>
        <w:t>和标准</w:t>
      </w:r>
    </w:p>
    <w:p w14:paraId="302BC85B">
      <w:pPr>
        <w:pStyle w:val="32"/>
        <w:pageBreakBefore w:val="0"/>
        <w:widowControl w:val="0"/>
        <w:spacing w:beforeAutospacing="0" w:afterAutospacing="0" w:line="460" w:lineRule="exact"/>
        <w:ind w:left="0"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51982F59">
      <w:pPr>
        <w:pageBreakBefore w:val="0"/>
        <w:widowControl w:val="0"/>
        <w:spacing w:line="460" w:lineRule="exact"/>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rPr>
        <w:t>3.2 在本项目政府采购活动过程中，如果所执行的标准有更新的，按照最新标准执行。</w:t>
      </w:r>
    </w:p>
    <w:p w14:paraId="2085F802">
      <w:pPr>
        <w:pStyle w:val="32"/>
        <w:keepNext/>
        <w:keepLines/>
        <w:pageBreakBefore w:val="0"/>
        <w:widowControl w:val="0"/>
        <w:spacing w:beforeAutospacing="0" w:afterAutospacing="0" w:line="460" w:lineRule="exact"/>
        <w:ind w:left="0"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4、磋商费用</w:t>
      </w:r>
      <w:bookmarkEnd w:id="23"/>
      <w:bookmarkEnd w:id="24"/>
      <w:bookmarkEnd w:id="25"/>
      <w:bookmarkEnd w:id="26"/>
    </w:p>
    <w:p w14:paraId="67BF14B1">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4.1供应商应自行承担所有与参加本次磋商有关的费用，无论磋商过程中的做法和结果如何，</w:t>
      </w:r>
      <w:r>
        <w:rPr>
          <w:rFonts w:hint="eastAsia" w:ascii="宋体" w:hAnsi="宋体" w:eastAsia="宋体" w:cs="宋体"/>
          <w:color w:val="auto"/>
          <w:sz w:val="24"/>
          <w:szCs w:val="24"/>
          <w:highlight w:val="none"/>
          <w:shd w:val="clear" w:color="auto" w:fill="auto"/>
          <w:lang w:eastAsia="zh-CN"/>
        </w:rPr>
        <w:t xml:space="preserve">射阳县行政服务中心 </w:t>
      </w:r>
      <w:r>
        <w:rPr>
          <w:rFonts w:hint="eastAsia" w:ascii="宋体" w:hAnsi="宋体" w:eastAsia="宋体" w:cs="宋体"/>
          <w:color w:val="auto"/>
          <w:sz w:val="24"/>
          <w:szCs w:val="24"/>
          <w:highlight w:val="none"/>
          <w:shd w:val="clear" w:color="auto" w:fill="auto"/>
        </w:rPr>
        <w:t>（以下简称</w:t>
      </w:r>
      <w:r>
        <w:rPr>
          <w:rFonts w:hint="eastAsia" w:ascii="宋体" w:hAnsi="宋体" w:eastAsia="宋体" w:cs="宋体"/>
          <w:color w:val="auto"/>
          <w:sz w:val="24"/>
          <w:szCs w:val="24"/>
          <w:highlight w:val="none"/>
          <w:shd w:val="clear" w:color="auto" w:fill="auto"/>
          <w:lang w:val="en-US" w:eastAsia="zh-CN"/>
        </w:rPr>
        <w:t>采购中心</w:t>
      </w:r>
      <w:r>
        <w:rPr>
          <w:rFonts w:hint="eastAsia" w:ascii="宋体" w:hAnsi="宋体" w:eastAsia="宋体" w:cs="宋体"/>
          <w:color w:val="auto"/>
          <w:sz w:val="24"/>
          <w:szCs w:val="24"/>
          <w:highlight w:val="none"/>
          <w:shd w:val="clear" w:color="auto" w:fill="auto"/>
        </w:rPr>
        <w:t>）在任何情况下均无义务和责任承担这些费用。</w:t>
      </w:r>
    </w:p>
    <w:p w14:paraId="15D5575E">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4.2本次磋商</w:t>
      </w:r>
      <w:r>
        <w:rPr>
          <w:rFonts w:hint="eastAsia" w:ascii="宋体" w:hAnsi="宋体" w:eastAsia="宋体" w:cs="宋体"/>
          <w:color w:val="auto"/>
          <w:sz w:val="24"/>
          <w:szCs w:val="24"/>
          <w:highlight w:val="none"/>
          <w:shd w:val="clear" w:color="auto" w:fill="auto"/>
          <w:lang w:val="en-US" w:eastAsia="zh-CN"/>
        </w:rPr>
        <w:t>采购中心</w:t>
      </w:r>
      <w:r>
        <w:rPr>
          <w:rFonts w:hint="eastAsia" w:ascii="宋体" w:hAnsi="宋体" w:eastAsia="宋体" w:cs="宋体"/>
          <w:color w:val="auto"/>
          <w:sz w:val="24"/>
          <w:szCs w:val="24"/>
          <w:highlight w:val="none"/>
          <w:shd w:val="clear" w:color="auto" w:fill="auto"/>
        </w:rPr>
        <w:t>和采购人不收取标书工本费与成交服务费。</w:t>
      </w:r>
    </w:p>
    <w:p w14:paraId="60B28B97">
      <w:pPr>
        <w:pStyle w:val="32"/>
        <w:keepNext/>
        <w:keepLines/>
        <w:pageBreakBefore w:val="0"/>
        <w:widowControl w:val="0"/>
        <w:spacing w:beforeAutospacing="0" w:afterAutospacing="0" w:line="460" w:lineRule="exact"/>
        <w:ind w:left="0"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5、磋商文件的约束力</w:t>
      </w:r>
    </w:p>
    <w:p w14:paraId="351AA396">
      <w:pPr>
        <w:pStyle w:val="32"/>
        <w:keepNext/>
        <w:keepLines/>
        <w:pageBreakBefore w:val="0"/>
        <w:widowControl w:val="0"/>
        <w:spacing w:beforeAutospacing="0" w:afterAutospacing="0" w:line="460" w:lineRule="exact"/>
        <w:ind w:left="0"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5.1供应商一旦参加本项目采购活动，即被认为接受了本磋商文件的规定和约束。</w:t>
      </w:r>
    </w:p>
    <w:p w14:paraId="0EC4A88C">
      <w:pPr>
        <w:pStyle w:val="32"/>
        <w:keepNext/>
        <w:keepLines/>
        <w:pageBreakBefore w:val="0"/>
        <w:widowControl w:val="0"/>
        <w:spacing w:beforeAutospacing="0" w:afterAutospacing="0" w:line="460" w:lineRule="exact"/>
        <w:ind w:left="0" w:firstLine="321"/>
        <w:jc w:val="both"/>
        <w:rPr>
          <w:rFonts w:hint="eastAsia" w:ascii="宋体" w:hAnsi="宋体" w:eastAsia="宋体" w:cs="宋体"/>
          <w:color w:val="auto"/>
          <w:sz w:val="24"/>
          <w:szCs w:val="24"/>
          <w:highlight w:val="none"/>
          <w:shd w:val="clear" w:color="auto" w:fill="auto"/>
        </w:rPr>
      </w:pPr>
      <w:bookmarkStart w:id="27" w:name="_Toc513029209"/>
      <w:bookmarkStart w:id="28" w:name="_Toc20823281"/>
      <w:bookmarkStart w:id="29" w:name="_Toc16938525"/>
      <w:bookmarkStart w:id="30" w:name="_Toc120614215"/>
      <w:r>
        <w:rPr>
          <w:rFonts w:hint="eastAsia" w:ascii="宋体" w:hAnsi="宋体" w:eastAsia="宋体" w:cs="宋体"/>
          <w:b/>
          <w:color w:val="auto"/>
          <w:sz w:val="24"/>
          <w:szCs w:val="24"/>
          <w:highlight w:val="none"/>
          <w:shd w:val="clear" w:color="auto" w:fill="auto"/>
        </w:rPr>
        <w:t>二、</w:t>
      </w:r>
      <w:bookmarkEnd w:id="27"/>
      <w:bookmarkEnd w:id="28"/>
      <w:bookmarkEnd w:id="29"/>
      <w:bookmarkEnd w:id="30"/>
      <w:r>
        <w:rPr>
          <w:rFonts w:hint="eastAsia" w:ascii="宋体" w:hAnsi="宋体" w:eastAsia="宋体" w:cs="宋体"/>
          <w:b/>
          <w:color w:val="auto"/>
          <w:sz w:val="24"/>
          <w:szCs w:val="24"/>
          <w:highlight w:val="none"/>
          <w:shd w:val="clear" w:color="auto" w:fill="auto"/>
        </w:rPr>
        <w:t>磋商文件</w:t>
      </w:r>
    </w:p>
    <w:p w14:paraId="2995BE1C">
      <w:pPr>
        <w:pStyle w:val="32"/>
        <w:keepNext/>
        <w:keepLines/>
        <w:pageBreakBefore w:val="0"/>
        <w:widowControl w:val="0"/>
        <w:spacing w:beforeAutospacing="0" w:afterAutospacing="0" w:line="460" w:lineRule="exact"/>
        <w:ind w:left="0" w:firstLine="420"/>
        <w:jc w:val="both"/>
        <w:rPr>
          <w:rFonts w:hint="eastAsia" w:ascii="宋体" w:hAnsi="宋体" w:eastAsia="宋体" w:cs="宋体"/>
          <w:color w:val="auto"/>
          <w:sz w:val="24"/>
          <w:szCs w:val="24"/>
          <w:highlight w:val="none"/>
          <w:shd w:val="clear" w:color="auto" w:fill="auto"/>
        </w:rPr>
      </w:pPr>
      <w:bookmarkStart w:id="31" w:name="_Toc16938526"/>
      <w:bookmarkStart w:id="32" w:name="_Toc513029210"/>
      <w:bookmarkStart w:id="33" w:name="_Toc20823282"/>
      <w:r>
        <w:rPr>
          <w:rFonts w:hint="eastAsia" w:ascii="宋体" w:hAnsi="宋体" w:eastAsia="宋体" w:cs="宋体"/>
          <w:color w:val="auto"/>
          <w:sz w:val="24"/>
          <w:szCs w:val="24"/>
          <w:highlight w:val="none"/>
          <w:shd w:val="clear" w:color="auto" w:fill="auto"/>
        </w:rPr>
        <w:t>6、磋商文件构成</w:t>
      </w:r>
      <w:bookmarkEnd w:id="31"/>
      <w:bookmarkEnd w:id="32"/>
      <w:bookmarkEnd w:id="33"/>
    </w:p>
    <w:p w14:paraId="53A025E4">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6.1磋商文件由以下部分组成：</w:t>
      </w:r>
    </w:p>
    <w:p w14:paraId="226BB2BD">
      <w:pPr>
        <w:pStyle w:val="32"/>
        <w:pageBreakBefore w:val="0"/>
        <w:widowControl w:val="0"/>
        <w:spacing w:beforeAutospacing="0" w:afterAutospacing="0" w:line="460" w:lineRule="exact"/>
        <w:ind w:left="0" w:firstLine="3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1</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磋商</w:t>
      </w:r>
      <w:r>
        <w:rPr>
          <w:rFonts w:hint="eastAsia" w:ascii="宋体" w:hAnsi="宋体" w:eastAsia="宋体" w:cs="宋体"/>
          <w:color w:val="auto"/>
          <w:sz w:val="24"/>
          <w:szCs w:val="24"/>
          <w:highlight w:val="none"/>
          <w:shd w:val="clear" w:color="auto" w:fill="auto"/>
          <w:lang w:val="en-US" w:eastAsia="zh-CN"/>
        </w:rPr>
        <w:t>公告</w:t>
      </w:r>
    </w:p>
    <w:p w14:paraId="5406B85C">
      <w:pPr>
        <w:pStyle w:val="32"/>
        <w:pageBreakBefore w:val="0"/>
        <w:widowControl w:val="0"/>
        <w:spacing w:beforeAutospacing="0" w:afterAutospacing="0" w:line="460" w:lineRule="exact"/>
        <w:ind w:left="0" w:firstLine="3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2</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供应商须知</w:t>
      </w:r>
    </w:p>
    <w:p w14:paraId="227B502B">
      <w:pPr>
        <w:pStyle w:val="32"/>
        <w:pageBreakBefore w:val="0"/>
        <w:widowControl w:val="0"/>
        <w:spacing w:beforeAutospacing="0" w:afterAutospacing="0" w:line="460" w:lineRule="exact"/>
        <w:ind w:left="0" w:firstLine="3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（3）合同文本</w:t>
      </w:r>
    </w:p>
    <w:p w14:paraId="0C8C5304">
      <w:pPr>
        <w:pStyle w:val="32"/>
        <w:pageBreakBefore w:val="0"/>
        <w:widowControl w:val="0"/>
        <w:spacing w:beforeAutospacing="0" w:afterAutospacing="0" w:line="460" w:lineRule="exact"/>
        <w:ind w:left="0" w:firstLine="3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（4）采购需求</w:t>
      </w:r>
    </w:p>
    <w:p w14:paraId="56EAB6E6">
      <w:pPr>
        <w:pStyle w:val="32"/>
        <w:pageBreakBefore w:val="0"/>
        <w:widowControl w:val="0"/>
        <w:spacing w:beforeAutospacing="0" w:afterAutospacing="0" w:line="460" w:lineRule="exact"/>
        <w:ind w:left="0" w:firstLine="3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（5）评审方法与评审标准</w:t>
      </w:r>
    </w:p>
    <w:p w14:paraId="71D7F1C4">
      <w:pPr>
        <w:pStyle w:val="32"/>
        <w:pageBreakBefore w:val="0"/>
        <w:widowControl w:val="0"/>
        <w:spacing w:beforeAutospacing="0" w:afterAutospacing="0" w:line="460" w:lineRule="exact"/>
        <w:ind w:left="0" w:firstLine="3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（6）响应文件格式</w:t>
      </w:r>
    </w:p>
    <w:p w14:paraId="71102FE6">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请仔细检查磋商文件是否齐全，如有缺漏请立即与</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lang w:eastAsia="zh-CN"/>
        </w:rPr>
        <w:t>中心</w:t>
      </w:r>
      <w:r>
        <w:rPr>
          <w:rFonts w:hint="eastAsia" w:ascii="宋体" w:hAnsi="宋体" w:eastAsia="宋体" w:cs="宋体"/>
          <w:color w:val="auto"/>
          <w:sz w:val="24"/>
          <w:szCs w:val="24"/>
          <w:highlight w:val="none"/>
          <w:shd w:val="clear" w:color="auto" w:fill="auto"/>
        </w:rPr>
        <w:t>联系解决。</w:t>
      </w:r>
    </w:p>
    <w:p w14:paraId="3323BB4C">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29129EA">
      <w:pPr>
        <w:pStyle w:val="32"/>
        <w:keepNext/>
        <w:keepLines/>
        <w:pageBreakBefore w:val="0"/>
        <w:widowControl w:val="0"/>
        <w:spacing w:beforeAutospacing="0" w:afterAutospacing="0" w:line="460" w:lineRule="exact"/>
        <w:ind w:left="0" w:firstLine="560"/>
        <w:jc w:val="both"/>
        <w:rPr>
          <w:rFonts w:hint="eastAsia" w:ascii="宋体" w:hAnsi="宋体" w:eastAsia="宋体" w:cs="宋体"/>
          <w:color w:val="auto"/>
          <w:sz w:val="24"/>
          <w:szCs w:val="24"/>
          <w:highlight w:val="none"/>
          <w:shd w:val="clear" w:color="auto" w:fill="auto"/>
        </w:rPr>
      </w:pPr>
      <w:bookmarkStart w:id="34" w:name="_Toc20823283"/>
      <w:bookmarkStart w:id="35" w:name="_Toc16938527"/>
      <w:bookmarkStart w:id="36" w:name="_Toc513029211"/>
      <w:bookmarkStart w:id="37" w:name="_Toc462564070"/>
      <w:r>
        <w:rPr>
          <w:rFonts w:hint="eastAsia" w:ascii="宋体" w:hAnsi="宋体" w:eastAsia="宋体" w:cs="宋体"/>
          <w:color w:val="auto"/>
          <w:sz w:val="24"/>
          <w:szCs w:val="24"/>
          <w:highlight w:val="none"/>
          <w:shd w:val="clear" w:color="auto" w:fill="auto"/>
        </w:rPr>
        <w:t>7、磋商文件的澄清</w:t>
      </w:r>
      <w:bookmarkEnd w:id="34"/>
      <w:bookmarkEnd w:id="35"/>
      <w:bookmarkEnd w:id="36"/>
      <w:bookmarkEnd w:id="37"/>
    </w:p>
    <w:p w14:paraId="22AE7084">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7.1 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lang w:eastAsia="zh-CN"/>
        </w:rPr>
        <w:t>中心</w:t>
      </w:r>
      <w:r>
        <w:rPr>
          <w:rFonts w:hint="eastAsia" w:ascii="宋体" w:hAnsi="宋体" w:eastAsia="宋体" w:cs="宋体"/>
          <w:color w:val="auto"/>
          <w:sz w:val="24"/>
          <w:szCs w:val="24"/>
          <w:highlight w:val="none"/>
          <w:shd w:val="clear" w:color="auto" w:fill="auto"/>
        </w:rPr>
        <w:t>。</w:t>
      </w:r>
    </w:p>
    <w:p w14:paraId="0BEA49F3">
      <w:pPr>
        <w:pStyle w:val="32"/>
        <w:keepNext/>
        <w:keepLines/>
        <w:pageBreakBefore w:val="0"/>
        <w:widowControl w:val="0"/>
        <w:spacing w:beforeAutospacing="0" w:afterAutospacing="0" w:line="460" w:lineRule="exact"/>
        <w:ind w:left="0" w:firstLine="560"/>
        <w:jc w:val="both"/>
        <w:rPr>
          <w:rFonts w:hint="eastAsia" w:ascii="宋体" w:hAnsi="宋体" w:eastAsia="宋体" w:cs="宋体"/>
          <w:color w:val="auto"/>
          <w:sz w:val="24"/>
          <w:szCs w:val="24"/>
          <w:highlight w:val="none"/>
          <w:shd w:val="clear" w:color="auto" w:fill="auto"/>
        </w:rPr>
      </w:pPr>
      <w:bookmarkStart w:id="38" w:name="_Toc20823284"/>
      <w:bookmarkStart w:id="39" w:name="_Toc16938528"/>
      <w:bookmarkStart w:id="40" w:name="_Toc462564071"/>
      <w:bookmarkStart w:id="41" w:name="_Toc513029212"/>
      <w:r>
        <w:rPr>
          <w:rFonts w:hint="eastAsia" w:ascii="宋体" w:hAnsi="宋体" w:eastAsia="宋体" w:cs="宋体"/>
          <w:color w:val="auto"/>
          <w:sz w:val="24"/>
          <w:szCs w:val="24"/>
          <w:highlight w:val="none"/>
          <w:shd w:val="clear" w:color="auto" w:fill="auto"/>
        </w:rPr>
        <w:t>8、磋商文件的澄清和修改</w:t>
      </w:r>
      <w:bookmarkEnd w:id="38"/>
      <w:bookmarkEnd w:id="39"/>
      <w:bookmarkEnd w:id="40"/>
      <w:bookmarkEnd w:id="41"/>
    </w:p>
    <w:p w14:paraId="0F6FEB07">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8.1 在响应文件提交截止时间前，</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lang w:eastAsia="zh-CN"/>
        </w:rPr>
        <w:t>中心</w:t>
      </w:r>
      <w:r>
        <w:rPr>
          <w:rFonts w:hint="eastAsia" w:ascii="宋体" w:hAnsi="宋体" w:eastAsia="宋体" w:cs="宋体"/>
          <w:color w:val="auto"/>
          <w:sz w:val="24"/>
          <w:szCs w:val="24"/>
          <w:highlight w:val="none"/>
          <w:shd w:val="clear" w:color="auto" w:fill="auto"/>
        </w:rPr>
        <w:t>可以对磋商文件进行澄清和修改, 澄清或者修改的内容作为磋商文件的组成部分。澄清或者修改的内容可能影响响应文件编制的，</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lang w:eastAsia="zh-CN"/>
        </w:rPr>
        <w:t>中心</w:t>
      </w:r>
      <w:r>
        <w:rPr>
          <w:rFonts w:hint="eastAsia" w:ascii="宋体" w:hAnsi="宋体" w:eastAsia="宋体" w:cs="宋体"/>
          <w:color w:val="auto"/>
          <w:sz w:val="24"/>
          <w:szCs w:val="24"/>
          <w:highlight w:val="none"/>
          <w:shd w:val="clear" w:color="auto" w:fill="auto"/>
        </w:rPr>
        <w:t>将在提交首次响应文件截止时间至少5日前，在“</w:t>
      </w:r>
      <w:r>
        <w:rPr>
          <w:rFonts w:hint="eastAsia" w:ascii="宋体" w:hAnsi="宋体" w:eastAsia="宋体" w:cs="宋体"/>
          <w:color w:val="auto"/>
          <w:sz w:val="24"/>
          <w:szCs w:val="24"/>
          <w:highlight w:val="none"/>
          <w:shd w:val="clear" w:color="auto" w:fill="auto"/>
          <w:lang w:val="en-US" w:eastAsia="zh-CN" w:bidi="ar-SA"/>
        </w:rPr>
        <w:t>中国政府采购网</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“江苏政府采购网</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盐城市政府采购网”上发布书面更正公告形式通知所有获取磋商文件的供应商, 更正公告内容将作为磋商文件的组成部分，并对供应商具有约束力。不足5日的，</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lang w:eastAsia="zh-CN"/>
        </w:rPr>
        <w:t>中心</w:t>
      </w:r>
      <w:r>
        <w:rPr>
          <w:rFonts w:hint="eastAsia" w:ascii="宋体" w:hAnsi="宋体" w:eastAsia="宋体" w:cs="宋体"/>
          <w:color w:val="auto"/>
          <w:sz w:val="24"/>
          <w:szCs w:val="24"/>
          <w:highlight w:val="none"/>
          <w:shd w:val="clear" w:color="auto" w:fill="auto"/>
        </w:rPr>
        <w:t>将顺延提交首次响应文件截止时间。</w:t>
      </w:r>
    </w:p>
    <w:p w14:paraId="7E144B42">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8.2</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lang w:eastAsia="zh-CN"/>
        </w:rPr>
        <w:t>中心</w:t>
      </w:r>
      <w:r>
        <w:rPr>
          <w:rFonts w:hint="eastAsia" w:ascii="宋体" w:hAnsi="宋体" w:eastAsia="宋体" w:cs="宋体"/>
          <w:color w:val="auto"/>
          <w:sz w:val="24"/>
          <w:szCs w:val="24"/>
          <w:highlight w:val="none"/>
          <w:shd w:val="clear" w:color="auto" w:fill="auto"/>
        </w:rPr>
        <w:t>可以视采购项目的具体情况，组织供应商进行现场考察或召开磋商前答疑会，但不单独或分别组织只有一个供应商参加的现场考察和答疑会。</w:t>
      </w:r>
    </w:p>
    <w:p w14:paraId="0F65E990">
      <w:pPr>
        <w:pStyle w:val="32"/>
        <w:keepNext/>
        <w:keepLines/>
        <w:pageBreakBefore w:val="0"/>
        <w:widowControl w:val="0"/>
        <w:spacing w:beforeAutospacing="0" w:afterAutospacing="0" w:line="460" w:lineRule="exact"/>
        <w:ind w:left="0" w:firstLine="482"/>
        <w:jc w:val="both"/>
        <w:rPr>
          <w:rFonts w:hint="eastAsia" w:ascii="宋体" w:hAnsi="宋体" w:eastAsia="宋体" w:cs="宋体"/>
          <w:color w:val="auto"/>
          <w:sz w:val="24"/>
          <w:szCs w:val="24"/>
          <w:highlight w:val="none"/>
          <w:shd w:val="clear" w:color="auto" w:fill="auto"/>
        </w:rPr>
      </w:pPr>
      <w:bookmarkStart w:id="42" w:name="_Toc462564072"/>
      <w:bookmarkStart w:id="43" w:name="_Toc20823285"/>
      <w:bookmarkStart w:id="44" w:name="_Toc513029213"/>
      <w:bookmarkStart w:id="45" w:name="_Toc120614216"/>
      <w:bookmarkStart w:id="46" w:name="_Toc16938529"/>
      <w:r>
        <w:rPr>
          <w:rFonts w:hint="eastAsia" w:ascii="宋体" w:hAnsi="宋体" w:eastAsia="宋体" w:cs="宋体"/>
          <w:b/>
          <w:color w:val="auto"/>
          <w:sz w:val="24"/>
          <w:szCs w:val="24"/>
          <w:highlight w:val="none"/>
          <w:shd w:val="clear" w:color="auto" w:fill="auto"/>
        </w:rPr>
        <w:t>三、响应文件的编制</w:t>
      </w:r>
      <w:bookmarkEnd w:id="42"/>
      <w:bookmarkEnd w:id="43"/>
      <w:bookmarkEnd w:id="44"/>
      <w:bookmarkEnd w:id="45"/>
      <w:bookmarkEnd w:id="46"/>
    </w:p>
    <w:p w14:paraId="79E03C3F">
      <w:pPr>
        <w:pStyle w:val="32"/>
        <w:keepNext/>
        <w:keepLines/>
        <w:pageBreakBefore w:val="0"/>
        <w:widowControl w:val="0"/>
        <w:spacing w:beforeAutospacing="0" w:afterAutospacing="0" w:line="460" w:lineRule="exact"/>
        <w:ind w:left="0" w:firstLine="560"/>
        <w:jc w:val="both"/>
        <w:rPr>
          <w:rFonts w:hint="eastAsia" w:ascii="宋体" w:hAnsi="宋体" w:eastAsia="宋体" w:cs="宋体"/>
          <w:color w:val="auto"/>
          <w:sz w:val="24"/>
          <w:szCs w:val="24"/>
          <w:highlight w:val="none"/>
          <w:shd w:val="clear" w:color="auto" w:fill="auto"/>
        </w:rPr>
      </w:pPr>
      <w:bookmarkStart w:id="47" w:name="_Toc20823286"/>
      <w:bookmarkStart w:id="48" w:name="_Toc513029214"/>
      <w:bookmarkStart w:id="49" w:name="_Toc462564073"/>
      <w:bookmarkStart w:id="50" w:name="_Toc16938530"/>
      <w:r>
        <w:rPr>
          <w:rFonts w:hint="eastAsia" w:ascii="宋体" w:hAnsi="宋体" w:eastAsia="宋体" w:cs="宋体"/>
          <w:color w:val="auto"/>
          <w:sz w:val="24"/>
          <w:szCs w:val="24"/>
          <w:highlight w:val="none"/>
          <w:shd w:val="clear" w:color="auto" w:fill="auto"/>
        </w:rPr>
        <w:t>9、响应文件的语言及度量衡单位</w:t>
      </w:r>
      <w:bookmarkEnd w:id="47"/>
      <w:bookmarkEnd w:id="48"/>
      <w:bookmarkEnd w:id="49"/>
      <w:bookmarkEnd w:id="50"/>
    </w:p>
    <w:p w14:paraId="1BF03BFD">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9.1供应商提交的响应文件以及供应商与</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lang w:eastAsia="zh-CN"/>
        </w:rPr>
        <w:t>中心</w:t>
      </w:r>
      <w:r>
        <w:rPr>
          <w:rFonts w:hint="eastAsia" w:ascii="宋体" w:hAnsi="宋体" w:eastAsia="宋体" w:cs="宋体"/>
          <w:color w:val="auto"/>
          <w:sz w:val="24"/>
          <w:szCs w:val="24"/>
          <w:highlight w:val="none"/>
          <w:shd w:val="clear" w:color="auto" w:fill="auto"/>
        </w:rPr>
        <w:t>就有关磋商的所有来往通知、函件和文件均应使用</w:t>
      </w:r>
      <w:r>
        <w:rPr>
          <w:rFonts w:hint="eastAsia" w:ascii="宋体" w:hAnsi="宋体" w:eastAsia="宋体" w:cs="宋体"/>
          <w:b/>
          <w:color w:val="auto"/>
          <w:sz w:val="24"/>
          <w:szCs w:val="24"/>
          <w:highlight w:val="none"/>
          <w:shd w:val="clear" w:color="auto" w:fill="auto"/>
        </w:rPr>
        <w:t>简体中文</w:t>
      </w:r>
      <w:r>
        <w:rPr>
          <w:rFonts w:hint="eastAsia" w:ascii="宋体" w:hAnsi="宋体" w:eastAsia="宋体" w:cs="宋体"/>
          <w:color w:val="auto"/>
          <w:sz w:val="24"/>
          <w:szCs w:val="24"/>
          <w:highlight w:val="none"/>
          <w:shd w:val="clear" w:color="auto" w:fill="auto"/>
        </w:rPr>
        <w:t>。</w:t>
      </w:r>
    </w:p>
    <w:p w14:paraId="48C1578B">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9.2除技术性能另有规定外，响应文件所使用的度量衡单位，均须采用国家法定计量单位。</w:t>
      </w:r>
    </w:p>
    <w:p w14:paraId="6DAEE1A4">
      <w:pPr>
        <w:pStyle w:val="32"/>
        <w:keepNext/>
        <w:keepLines/>
        <w:pageBreakBefore w:val="0"/>
        <w:widowControl w:val="0"/>
        <w:spacing w:beforeAutospacing="0" w:afterAutospacing="0" w:line="460" w:lineRule="exact"/>
        <w:ind w:left="0" w:firstLine="420"/>
        <w:jc w:val="both"/>
        <w:rPr>
          <w:rFonts w:hint="eastAsia" w:ascii="宋体" w:hAnsi="宋体" w:eastAsia="宋体" w:cs="宋体"/>
          <w:color w:val="auto"/>
          <w:sz w:val="24"/>
          <w:szCs w:val="24"/>
          <w:highlight w:val="none"/>
          <w:shd w:val="clear" w:color="auto" w:fill="auto"/>
        </w:rPr>
      </w:pPr>
      <w:bookmarkStart w:id="51" w:name="_Toc20823287"/>
      <w:bookmarkStart w:id="52" w:name="_Toc462564074"/>
      <w:bookmarkStart w:id="53" w:name="_Toc16938531"/>
      <w:bookmarkStart w:id="54" w:name="_Toc513029215"/>
      <w:r>
        <w:rPr>
          <w:rFonts w:hint="eastAsia" w:ascii="宋体" w:hAnsi="宋体" w:eastAsia="宋体" w:cs="宋体"/>
          <w:color w:val="auto"/>
          <w:sz w:val="24"/>
          <w:szCs w:val="24"/>
          <w:highlight w:val="none"/>
          <w:shd w:val="clear" w:color="auto" w:fill="auto"/>
        </w:rPr>
        <w:t>10、响应文件构成</w:t>
      </w:r>
      <w:bookmarkEnd w:id="51"/>
      <w:bookmarkEnd w:id="52"/>
      <w:bookmarkEnd w:id="53"/>
      <w:bookmarkEnd w:id="54"/>
    </w:p>
    <w:p w14:paraId="27F6EADC">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10.1供应商编写的响应文件应包括资格证明文件、符合性证明文件、分项报价表、技术要求响应及偏离表、商务要求响应及偏离表、其他证明文件、磋商响应函等部分。</w:t>
      </w:r>
    </w:p>
    <w:p w14:paraId="457C7B8B">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10.2如标书制作工具中格式和内容与“</w:t>
      </w:r>
      <w:r>
        <w:rPr>
          <w:rFonts w:hint="eastAsia" w:ascii="宋体" w:hAnsi="宋体" w:eastAsia="宋体" w:cs="宋体"/>
          <w:color w:val="auto"/>
          <w:sz w:val="24"/>
          <w:szCs w:val="24"/>
          <w:highlight w:val="none"/>
          <w:shd w:val="clear" w:color="auto" w:fill="auto"/>
          <w:lang w:val="en-US" w:eastAsia="zh-CN" w:bidi="ar-SA"/>
        </w:rPr>
        <w:t>中国政府采购网”“</w:t>
      </w:r>
      <w:r>
        <w:rPr>
          <w:rFonts w:hint="eastAsia" w:ascii="宋体" w:hAnsi="宋体" w:eastAsia="宋体" w:cs="宋体"/>
          <w:color w:val="auto"/>
          <w:sz w:val="24"/>
          <w:szCs w:val="24"/>
          <w:highlight w:val="none"/>
          <w:shd w:val="clear" w:color="auto" w:fill="auto"/>
        </w:rPr>
        <w:t>江苏政府采购网</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盐城市政府采购网”发布的磋商文件不一致，请以“</w:t>
      </w:r>
      <w:r>
        <w:rPr>
          <w:rFonts w:hint="eastAsia" w:ascii="宋体" w:hAnsi="宋体" w:eastAsia="宋体" w:cs="宋体"/>
          <w:color w:val="auto"/>
          <w:sz w:val="24"/>
          <w:szCs w:val="24"/>
          <w:highlight w:val="none"/>
          <w:shd w:val="clear" w:color="auto" w:fill="auto"/>
          <w:lang w:val="en-US" w:eastAsia="zh-CN" w:bidi="ar-SA"/>
        </w:rPr>
        <w:t>中国政府采购网”“</w:t>
      </w:r>
      <w:r>
        <w:rPr>
          <w:rFonts w:hint="eastAsia" w:ascii="宋体" w:hAnsi="宋体" w:eastAsia="宋体" w:cs="宋体"/>
          <w:color w:val="auto"/>
          <w:sz w:val="24"/>
          <w:szCs w:val="24"/>
          <w:highlight w:val="none"/>
          <w:shd w:val="clear" w:color="auto" w:fill="auto"/>
        </w:rPr>
        <w:t>江苏政府采购网</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盐城市政府采购网”发布的磋商文件为准。</w:t>
      </w:r>
    </w:p>
    <w:p w14:paraId="12234244">
      <w:pPr>
        <w:pStyle w:val="32"/>
        <w:keepNext/>
        <w:keepLines/>
        <w:pageBreakBefore w:val="0"/>
        <w:widowControl w:val="0"/>
        <w:spacing w:beforeAutospacing="0" w:afterAutospacing="0" w:line="460" w:lineRule="exact"/>
        <w:ind w:left="0" w:firstLine="420"/>
        <w:jc w:val="both"/>
        <w:rPr>
          <w:rFonts w:hint="eastAsia" w:ascii="宋体" w:hAnsi="宋体" w:eastAsia="宋体" w:cs="宋体"/>
          <w:color w:val="auto"/>
          <w:sz w:val="24"/>
          <w:szCs w:val="24"/>
          <w:highlight w:val="none"/>
          <w:shd w:val="clear" w:color="auto" w:fill="auto"/>
        </w:rPr>
      </w:pPr>
      <w:bookmarkStart w:id="55" w:name="_Toc49090509"/>
      <w:bookmarkStart w:id="56" w:name="_Toc49090507"/>
      <w:bookmarkStart w:id="57" w:name="_Toc14577355"/>
      <w:bookmarkStart w:id="58" w:name="_Toc49090508"/>
      <w:bookmarkStart w:id="59" w:name="_Toc14577357"/>
      <w:bookmarkStart w:id="60" w:name="_Toc513029219"/>
      <w:bookmarkStart w:id="61" w:name="_Toc14577354"/>
      <w:bookmarkStart w:id="62" w:name="_Toc513029216"/>
      <w:bookmarkStart w:id="63" w:name="_Hlt26954838"/>
      <w:bookmarkStart w:id="64" w:name="_Hlt26668975"/>
      <w:bookmarkStart w:id="65" w:name="_Hlt26670360"/>
      <w:r>
        <w:rPr>
          <w:rFonts w:hint="eastAsia" w:ascii="宋体" w:hAnsi="宋体" w:eastAsia="宋体" w:cs="宋体"/>
          <w:color w:val="auto"/>
          <w:sz w:val="24"/>
          <w:szCs w:val="24"/>
          <w:highlight w:val="none"/>
          <w:shd w:val="clear" w:color="auto" w:fill="auto"/>
        </w:rPr>
        <w:t>11、证明磋商响应标的符合磋商文件规定的文件</w:t>
      </w:r>
      <w:bookmarkEnd w:id="55"/>
      <w:bookmarkEnd w:id="56"/>
      <w:bookmarkEnd w:id="57"/>
      <w:bookmarkEnd w:id="58"/>
      <w:bookmarkEnd w:id="59"/>
      <w:bookmarkEnd w:id="60"/>
      <w:bookmarkEnd w:id="61"/>
      <w:bookmarkEnd w:id="62"/>
    </w:p>
    <w:p w14:paraId="31BA8918">
      <w:pPr>
        <w:pStyle w:val="32"/>
        <w:pageBreakBefore w:val="0"/>
        <w:widowControl w:val="0"/>
        <w:spacing w:beforeAutospacing="0" w:afterAutospacing="0" w:line="460" w:lineRule="exact"/>
        <w:ind w:left="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11.1供应商应按照磋商文件要求提交证明文件，证明其及磋商响应标的符合磋商文件规定。</w:t>
      </w:r>
    </w:p>
    <w:p w14:paraId="5D23D832">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11.2磋商文件对证明文件无明确形式要求的，证明文件可以以文字资料、图纸和数据等形式提交。</w:t>
      </w:r>
    </w:p>
    <w:p w14:paraId="2F1DC3A0">
      <w:pPr>
        <w:pStyle w:val="32"/>
        <w:keepNext/>
        <w:keepLines/>
        <w:pageBreakBefore w:val="0"/>
        <w:widowControl w:val="0"/>
        <w:spacing w:beforeAutospacing="0" w:afterAutospacing="0" w:line="460" w:lineRule="exact"/>
        <w:ind w:left="0" w:firstLine="420"/>
        <w:jc w:val="both"/>
        <w:rPr>
          <w:rFonts w:hint="eastAsia" w:ascii="宋体" w:hAnsi="宋体" w:eastAsia="宋体" w:cs="宋体"/>
          <w:color w:val="auto"/>
          <w:sz w:val="24"/>
          <w:szCs w:val="24"/>
          <w:highlight w:val="none"/>
          <w:shd w:val="clear" w:color="auto" w:fill="auto"/>
        </w:rPr>
      </w:pPr>
      <w:bookmarkStart w:id="66" w:name="_Hlt26954846"/>
      <w:bookmarkStart w:id="67" w:name="_Hlt26954848"/>
      <w:bookmarkStart w:id="68" w:name="_Hlt26954731"/>
      <w:bookmarkStart w:id="69" w:name="_Hlt26670482"/>
      <w:bookmarkStart w:id="70" w:name="_Hlt26670486"/>
      <w:r>
        <w:rPr>
          <w:rFonts w:hint="eastAsia" w:ascii="宋体" w:hAnsi="宋体" w:eastAsia="宋体" w:cs="宋体"/>
          <w:color w:val="auto"/>
          <w:sz w:val="24"/>
          <w:szCs w:val="24"/>
          <w:highlight w:val="none"/>
          <w:shd w:val="clear" w:color="auto" w:fill="auto"/>
        </w:rPr>
        <w:t>12、投标分项报价表</w:t>
      </w:r>
    </w:p>
    <w:p w14:paraId="53959C05">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12.1</w:t>
      </w:r>
      <w:r>
        <w:rPr>
          <w:rFonts w:hint="eastAsia" w:ascii="宋体" w:hAnsi="宋体" w:eastAsia="宋体" w:cs="宋体"/>
          <w:color w:val="auto"/>
          <w:sz w:val="24"/>
          <w:szCs w:val="24"/>
          <w:highlight w:val="none"/>
          <w:shd w:val="clear" w:color="auto" w:fill="auto"/>
          <w:lang w:eastAsia="zh-CN"/>
        </w:rPr>
        <w:t>供应商</w:t>
      </w:r>
      <w:r>
        <w:rPr>
          <w:rFonts w:hint="eastAsia" w:ascii="宋体" w:hAnsi="宋体" w:eastAsia="宋体" w:cs="宋体"/>
          <w:color w:val="auto"/>
          <w:sz w:val="24"/>
          <w:szCs w:val="24"/>
          <w:highlight w:val="none"/>
          <w:shd w:val="clear" w:color="auto" w:fill="auto"/>
        </w:rPr>
        <w:t>应按照</w:t>
      </w:r>
      <w:r>
        <w:rPr>
          <w:rFonts w:hint="eastAsia" w:ascii="宋体" w:hAnsi="宋体" w:eastAsia="宋体" w:cs="宋体"/>
          <w:color w:val="auto"/>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文件规定格式填报投标分项报价表。</w:t>
      </w:r>
    </w:p>
    <w:p w14:paraId="0AF6C9D9">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12.2投标货币。</w:t>
      </w:r>
      <w:r>
        <w:rPr>
          <w:rFonts w:hint="eastAsia" w:ascii="宋体" w:hAnsi="宋体" w:eastAsia="宋体" w:cs="宋体"/>
          <w:color w:val="auto"/>
          <w:sz w:val="24"/>
          <w:szCs w:val="24"/>
          <w:highlight w:val="none"/>
          <w:shd w:val="clear" w:color="auto" w:fill="auto"/>
          <w:lang w:val="en-US" w:eastAsia="zh-CN"/>
        </w:rPr>
        <w:t>响应</w:t>
      </w:r>
      <w:r>
        <w:rPr>
          <w:rFonts w:hint="eastAsia" w:ascii="宋体" w:hAnsi="宋体" w:eastAsia="宋体" w:cs="宋体"/>
          <w:color w:val="auto"/>
          <w:sz w:val="24"/>
          <w:szCs w:val="24"/>
          <w:highlight w:val="none"/>
          <w:shd w:val="clear" w:color="auto" w:fill="auto"/>
        </w:rPr>
        <w:t>文件中的单价和总价无特殊规定的采用人民币报价，以元为单位标注。</w:t>
      </w:r>
      <w:r>
        <w:rPr>
          <w:rFonts w:hint="eastAsia" w:ascii="宋体" w:hAnsi="宋体" w:eastAsia="宋体" w:cs="宋体"/>
          <w:color w:val="auto"/>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文件中另有规定的按规定执行。</w:t>
      </w:r>
    </w:p>
    <w:p w14:paraId="569BDE7E">
      <w:pPr>
        <w:pageBreakBefore w:val="0"/>
        <w:widowControl w:val="0"/>
        <w:spacing w:line="460" w:lineRule="exact"/>
        <w:ind w:left="0" w:firstLine="48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12.3投标配置和分项明细报价，不仅应包括所有人员的工资、法定节假日加班费、社保、公积金、福利费，还应包括：管理、劳务、培训、风险、税金、合理利润及政策性文件规定等各项应有费用，以及为完成</w:t>
      </w:r>
      <w:r>
        <w:rPr>
          <w:rFonts w:hint="eastAsia" w:ascii="宋体" w:hAnsi="宋体" w:eastAsia="宋体" w:cs="宋体"/>
          <w:color w:val="auto"/>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文件规定的物业服务工作所涉及到的一切相关费用。</w:t>
      </w:r>
    </w:p>
    <w:p w14:paraId="40582A72">
      <w:pPr>
        <w:pageBreakBefore w:val="0"/>
        <w:widowControl w:val="0"/>
        <w:spacing w:line="460" w:lineRule="exact"/>
        <w:ind w:left="0" w:firstLine="468"/>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12.4</w:t>
      </w:r>
      <w:r>
        <w:rPr>
          <w:rFonts w:hint="eastAsia" w:ascii="宋体" w:hAnsi="宋体" w:eastAsia="宋体" w:cs="宋体"/>
          <w:b/>
          <w:bCs/>
          <w:color w:val="auto"/>
          <w:sz w:val="24"/>
          <w:szCs w:val="24"/>
          <w:highlight w:val="none"/>
          <w:shd w:val="clear" w:color="auto" w:fill="auto"/>
          <w:lang w:val="zh-CN"/>
        </w:rPr>
        <w:t>所有人员工资不低于本市最低工资标准</w:t>
      </w:r>
      <w:r>
        <w:rPr>
          <w:rFonts w:hint="eastAsia" w:ascii="宋体" w:hAnsi="宋体" w:eastAsia="宋体" w:cs="宋体"/>
          <w:b/>
          <w:bCs/>
          <w:color w:val="auto"/>
          <w:sz w:val="24"/>
          <w:szCs w:val="24"/>
          <w:highlight w:val="none"/>
          <w:shd w:val="clear" w:color="auto" w:fill="auto"/>
          <w:lang w:val="en-US" w:eastAsia="zh-CN"/>
        </w:rPr>
        <w:t>2180.00</w:t>
      </w:r>
      <w:r>
        <w:rPr>
          <w:rFonts w:hint="eastAsia" w:ascii="宋体" w:hAnsi="宋体" w:eastAsia="宋体" w:cs="宋体"/>
          <w:b/>
          <w:bCs/>
          <w:color w:val="auto"/>
          <w:sz w:val="24"/>
          <w:szCs w:val="24"/>
          <w:highlight w:val="none"/>
          <w:shd w:val="clear" w:color="auto" w:fill="auto"/>
          <w:lang w:val="zh-CN"/>
        </w:rPr>
        <w:t>元/人每月</w:t>
      </w:r>
      <w:r>
        <w:rPr>
          <w:rFonts w:hint="eastAsia" w:ascii="宋体" w:hAnsi="宋体" w:eastAsia="宋体" w:cs="宋体"/>
          <w:b/>
          <w:bCs/>
          <w:i/>
          <w:iCs/>
          <w:color w:val="auto"/>
          <w:sz w:val="24"/>
          <w:szCs w:val="24"/>
          <w:highlight w:val="none"/>
          <w:lang w:val="zh-CN"/>
        </w:rPr>
        <w:t>（</w:t>
      </w:r>
      <w:r>
        <w:rPr>
          <w:rFonts w:hint="eastAsia" w:ascii="宋体" w:hAnsi="宋体" w:eastAsia="宋体" w:cs="宋体"/>
          <w:b/>
          <w:bCs/>
          <w:i/>
          <w:iCs/>
          <w:color w:val="auto"/>
          <w:sz w:val="24"/>
          <w:szCs w:val="24"/>
          <w:highlight w:val="none"/>
          <w:lang w:val="en-US" w:eastAsia="zh-CN"/>
        </w:rPr>
        <w:t>非全日制人员除外</w:t>
      </w:r>
      <w:r>
        <w:rPr>
          <w:rFonts w:hint="eastAsia" w:ascii="宋体" w:hAnsi="宋体" w:eastAsia="宋体" w:cs="宋体"/>
          <w:b/>
          <w:bCs/>
          <w:i/>
          <w:iCs/>
          <w:color w:val="auto"/>
          <w:sz w:val="24"/>
          <w:szCs w:val="24"/>
          <w:highlight w:val="none"/>
          <w:lang w:val="zh-CN"/>
        </w:rPr>
        <w:t>）</w:t>
      </w:r>
      <w:r>
        <w:rPr>
          <w:rFonts w:hint="eastAsia" w:ascii="宋体" w:hAnsi="宋体" w:eastAsia="宋体" w:cs="宋体"/>
          <w:b/>
          <w:bCs/>
          <w:i/>
          <w:iCs/>
          <w:color w:val="auto"/>
          <w:sz w:val="24"/>
          <w:szCs w:val="24"/>
          <w:highlight w:val="none"/>
          <w:lang w:val="en-US" w:eastAsia="zh-CN"/>
        </w:rPr>
        <w:t>其中项目经理工资不得低于6000元</w:t>
      </w:r>
      <w:r>
        <w:rPr>
          <w:rFonts w:hint="eastAsia" w:ascii="宋体" w:hAnsi="宋体" w:eastAsia="宋体" w:cs="宋体"/>
          <w:b/>
          <w:bCs/>
          <w:color w:val="auto"/>
          <w:sz w:val="24"/>
          <w:szCs w:val="24"/>
          <w:highlight w:val="none"/>
          <w:shd w:val="clear" w:color="auto" w:fill="auto"/>
          <w:lang w:val="zh-CN"/>
        </w:rPr>
        <w:t>/人/每月、</w:t>
      </w:r>
      <w:r>
        <w:rPr>
          <w:rFonts w:hint="eastAsia" w:ascii="宋体" w:hAnsi="宋体" w:eastAsia="宋体" w:cs="宋体"/>
          <w:b/>
          <w:bCs/>
          <w:color w:val="auto"/>
          <w:sz w:val="24"/>
          <w:szCs w:val="24"/>
          <w:highlight w:val="none"/>
          <w:shd w:val="clear" w:color="auto" w:fill="auto"/>
          <w:lang w:val="en-US" w:eastAsia="zh-CN"/>
        </w:rPr>
        <w:t>保安主管工资</w:t>
      </w:r>
      <w:r>
        <w:rPr>
          <w:rFonts w:hint="eastAsia" w:ascii="宋体" w:hAnsi="宋体" w:eastAsia="宋体" w:cs="宋体"/>
          <w:b/>
          <w:bCs/>
          <w:i/>
          <w:iCs/>
          <w:color w:val="auto"/>
          <w:sz w:val="24"/>
          <w:szCs w:val="24"/>
          <w:highlight w:val="none"/>
          <w:lang w:val="en-US" w:eastAsia="zh-CN"/>
        </w:rPr>
        <w:t>不得低于5000元</w:t>
      </w:r>
      <w:r>
        <w:rPr>
          <w:rFonts w:hint="eastAsia" w:ascii="宋体" w:hAnsi="宋体" w:eastAsia="宋体" w:cs="宋体"/>
          <w:b/>
          <w:bCs/>
          <w:color w:val="auto"/>
          <w:sz w:val="24"/>
          <w:szCs w:val="24"/>
          <w:highlight w:val="none"/>
          <w:shd w:val="clear" w:color="auto" w:fill="auto"/>
          <w:lang w:val="zh-CN"/>
        </w:rPr>
        <w:t>/人/每月、</w:t>
      </w:r>
      <w:r>
        <w:rPr>
          <w:rFonts w:hint="eastAsia" w:ascii="宋体" w:hAnsi="宋体" w:eastAsia="宋体" w:cs="宋体"/>
          <w:b/>
          <w:bCs/>
          <w:color w:val="auto"/>
          <w:sz w:val="24"/>
          <w:szCs w:val="24"/>
          <w:highlight w:val="none"/>
          <w:shd w:val="clear" w:color="auto" w:fill="auto"/>
          <w:lang w:val="en-US" w:eastAsia="zh-CN"/>
        </w:rPr>
        <w:t>维修人员工资</w:t>
      </w:r>
      <w:r>
        <w:rPr>
          <w:rFonts w:hint="eastAsia" w:ascii="宋体" w:hAnsi="宋体" w:eastAsia="宋体" w:cs="宋体"/>
          <w:b/>
          <w:bCs/>
          <w:i/>
          <w:iCs/>
          <w:color w:val="auto"/>
          <w:sz w:val="24"/>
          <w:szCs w:val="24"/>
          <w:highlight w:val="none"/>
          <w:lang w:val="en-US" w:eastAsia="zh-CN"/>
        </w:rPr>
        <w:t>不得低于5000元</w:t>
      </w:r>
      <w:r>
        <w:rPr>
          <w:rFonts w:hint="eastAsia" w:ascii="宋体" w:hAnsi="宋体" w:eastAsia="宋体" w:cs="宋体"/>
          <w:b/>
          <w:bCs/>
          <w:color w:val="auto"/>
          <w:sz w:val="24"/>
          <w:szCs w:val="24"/>
          <w:highlight w:val="none"/>
          <w:shd w:val="clear" w:color="auto" w:fill="auto"/>
          <w:lang w:val="zh-CN"/>
        </w:rPr>
        <w:t>/人/每月，所有人员必须足额缴纳社保费用</w:t>
      </w:r>
      <w:r>
        <w:rPr>
          <w:rFonts w:hint="eastAsia" w:ascii="宋体" w:hAnsi="宋体" w:eastAsia="宋体" w:cs="宋体"/>
          <w:b/>
          <w:bCs/>
          <w:i/>
          <w:iCs/>
          <w:color w:val="auto"/>
          <w:sz w:val="24"/>
          <w:szCs w:val="24"/>
          <w:highlight w:val="none"/>
          <w:lang w:val="zh-CN"/>
        </w:rPr>
        <w:t>（</w:t>
      </w:r>
      <w:r>
        <w:rPr>
          <w:rFonts w:hint="eastAsia" w:ascii="宋体" w:hAnsi="宋体" w:eastAsia="宋体" w:cs="宋体"/>
          <w:b/>
          <w:bCs/>
          <w:i/>
          <w:iCs/>
          <w:color w:val="auto"/>
          <w:sz w:val="24"/>
          <w:szCs w:val="24"/>
          <w:highlight w:val="none"/>
          <w:lang w:val="en-US" w:eastAsia="zh-CN"/>
        </w:rPr>
        <w:t>非全日制人员除外</w:t>
      </w:r>
      <w:r>
        <w:rPr>
          <w:rFonts w:hint="eastAsia" w:ascii="宋体" w:hAnsi="宋体" w:eastAsia="宋体" w:cs="宋体"/>
          <w:b/>
          <w:bCs/>
          <w:i/>
          <w:iCs/>
          <w:color w:val="auto"/>
          <w:sz w:val="24"/>
          <w:szCs w:val="24"/>
          <w:highlight w:val="none"/>
          <w:lang w:val="zh-CN"/>
        </w:rPr>
        <w:t>）</w:t>
      </w:r>
      <w:r>
        <w:rPr>
          <w:rFonts w:hint="eastAsia" w:ascii="宋体" w:hAnsi="宋体" w:eastAsia="宋体" w:cs="宋体"/>
          <w:b/>
          <w:bCs/>
          <w:color w:val="auto"/>
          <w:sz w:val="24"/>
          <w:szCs w:val="24"/>
          <w:highlight w:val="none"/>
          <w:shd w:val="clear" w:color="auto" w:fill="auto"/>
          <w:lang w:val="zh-CN"/>
        </w:rPr>
        <w:t>，社保（企业部分）不得低于</w:t>
      </w:r>
      <w:r>
        <w:rPr>
          <w:rFonts w:hint="eastAsia" w:ascii="宋体" w:hAnsi="宋体" w:eastAsia="宋体" w:cs="宋体"/>
          <w:b/>
          <w:bCs/>
          <w:color w:val="auto"/>
          <w:sz w:val="24"/>
          <w:szCs w:val="24"/>
          <w:highlight w:val="none"/>
          <w:shd w:val="clear" w:color="auto" w:fill="auto"/>
          <w:lang w:val="en-US" w:eastAsia="zh-CN"/>
        </w:rPr>
        <w:t>1285.05</w:t>
      </w:r>
      <w:r>
        <w:rPr>
          <w:rFonts w:hint="eastAsia" w:ascii="宋体" w:hAnsi="宋体" w:eastAsia="宋体" w:cs="宋体"/>
          <w:b/>
          <w:bCs/>
          <w:color w:val="auto"/>
          <w:sz w:val="24"/>
          <w:szCs w:val="24"/>
          <w:highlight w:val="none"/>
          <w:shd w:val="clear" w:color="auto" w:fill="auto"/>
          <w:lang w:val="zh-CN"/>
        </w:rPr>
        <w:t>元/人/每月，</w:t>
      </w:r>
      <w:r>
        <w:rPr>
          <w:rFonts w:hint="eastAsia" w:ascii="宋体" w:hAnsi="宋体" w:eastAsia="宋体" w:cs="宋体"/>
          <w:b/>
          <w:bCs/>
          <w:color w:val="auto"/>
          <w:sz w:val="24"/>
          <w:szCs w:val="24"/>
          <w:highlight w:val="none"/>
          <w:shd w:val="clear" w:color="auto" w:fill="auto"/>
        </w:rPr>
        <w:t>住房公积金不得低于</w:t>
      </w:r>
      <w:r>
        <w:rPr>
          <w:rFonts w:hint="eastAsia" w:ascii="宋体" w:hAnsi="宋体" w:eastAsia="宋体" w:cs="宋体"/>
          <w:b/>
          <w:bCs/>
          <w:color w:val="auto"/>
          <w:sz w:val="24"/>
          <w:szCs w:val="24"/>
          <w:highlight w:val="none"/>
          <w:shd w:val="clear" w:color="auto" w:fill="auto"/>
          <w:lang w:val="en-US" w:eastAsia="zh-CN"/>
        </w:rPr>
        <w:t>100.5</w:t>
      </w:r>
      <w:r>
        <w:rPr>
          <w:rFonts w:hint="eastAsia" w:ascii="宋体" w:hAnsi="宋体" w:eastAsia="宋体" w:cs="宋体"/>
          <w:b/>
          <w:bCs/>
          <w:color w:val="auto"/>
          <w:sz w:val="24"/>
          <w:szCs w:val="24"/>
          <w:highlight w:val="none"/>
          <w:shd w:val="clear" w:color="auto" w:fill="auto"/>
        </w:rPr>
        <w:t>元</w:t>
      </w:r>
      <w:r>
        <w:rPr>
          <w:rFonts w:hint="eastAsia" w:ascii="宋体" w:hAnsi="宋体" w:eastAsia="宋体" w:cs="宋体"/>
          <w:b/>
          <w:bCs/>
          <w:color w:val="auto"/>
          <w:sz w:val="24"/>
          <w:szCs w:val="24"/>
          <w:highlight w:val="none"/>
          <w:shd w:val="clear" w:color="auto" w:fill="auto"/>
          <w:lang w:val="zh-CN"/>
        </w:rPr>
        <w:t>人/每月，国家</w:t>
      </w:r>
      <w:r>
        <w:rPr>
          <w:rFonts w:hint="eastAsia" w:ascii="宋体" w:hAnsi="宋体" w:eastAsia="宋体" w:cs="宋体"/>
          <w:b/>
          <w:bCs/>
          <w:color w:val="auto"/>
          <w:sz w:val="24"/>
          <w:szCs w:val="24"/>
          <w:highlight w:val="none"/>
          <w:shd w:val="clear" w:color="auto" w:fill="auto"/>
        </w:rPr>
        <w:t>法定节假日加班费不得低于</w:t>
      </w:r>
      <w:r>
        <w:rPr>
          <w:rFonts w:hint="eastAsia" w:ascii="宋体" w:hAnsi="宋体" w:eastAsia="宋体" w:cs="宋体"/>
          <w:b/>
          <w:bCs/>
          <w:color w:val="auto"/>
          <w:sz w:val="24"/>
          <w:szCs w:val="24"/>
          <w:highlight w:val="none"/>
          <w:shd w:val="clear" w:color="auto" w:fill="auto"/>
          <w:lang w:val="en-US" w:eastAsia="zh-CN"/>
        </w:rPr>
        <w:t>3908.96</w:t>
      </w:r>
      <w:r>
        <w:rPr>
          <w:rFonts w:hint="eastAsia" w:ascii="宋体" w:hAnsi="宋体" w:eastAsia="宋体" w:cs="宋体"/>
          <w:b/>
          <w:bCs/>
          <w:color w:val="auto"/>
          <w:sz w:val="24"/>
          <w:szCs w:val="24"/>
          <w:highlight w:val="none"/>
          <w:shd w:val="clear" w:color="auto" w:fill="auto"/>
        </w:rPr>
        <w:t>元人/每年，</w:t>
      </w:r>
      <w:r>
        <w:rPr>
          <w:rFonts w:hint="eastAsia" w:ascii="宋体" w:hAnsi="宋体" w:eastAsia="宋体" w:cs="宋体"/>
          <w:b/>
          <w:bCs/>
          <w:color w:val="auto"/>
          <w:sz w:val="24"/>
          <w:szCs w:val="24"/>
          <w:highlight w:val="none"/>
          <w:shd w:val="clear" w:color="auto" w:fill="auto"/>
          <w:lang w:eastAsia="zh-CN"/>
        </w:rPr>
        <w:t>法定假日</w:t>
      </w:r>
      <w:r>
        <w:rPr>
          <w:rFonts w:hint="eastAsia" w:ascii="宋体" w:hAnsi="宋体" w:eastAsia="宋体" w:cs="宋体"/>
          <w:b/>
          <w:bCs/>
          <w:color w:val="auto"/>
          <w:sz w:val="24"/>
          <w:szCs w:val="24"/>
          <w:highlight w:val="none"/>
          <w:shd w:val="clear" w:color="auto" w:fill="auto"/>
        </w:rPr>
        <w:t>加班费不得低于</w:t>
      </w:r>
      <w:r>
        <w:rPr>
          <w:rFonts w:hint="eastAsia" w:ascii="宋体" w:hAnsi="宋体" w:eastAsia="宋体" w:cs="宋体"/>
          <w:b/>
          <w:bCs/>
          <w:color w:val="auto"/>
          <w:sz w:val="24"/>
          <w:szCs w:val="24"/>
          <w:highlight w:val="none"/>
          <w:shd w:val="clear" w:color="auto" w:fill="auto"/>
          <w:lang w:val="en-US" w:eastAsia="zh-CN"/>
        </w:rPr>
        <w:t>10423.91</w:t>
      </w:r>
      <w:r>
        <w:rPr>
          <w:rFonts w:hint="eastAsia" w:ascii="宋体" w:hAnsi="宋体" w:eastAsia="宋体" w:cs="宋体"/>
          <w:b/>
          <w:bCs/>
          <w:color w:val="auto"/>
          <w:sz w:val="24"/>
          <w:szCs w:val="24"/>
          <w:highlight w:val="none"/>
          <w:shd w:val="clear" w:color="auto" w:fill="auto"/>
        </w:rPr>
        <w:t>元人/每年</w:t>
      </w:r>
      <w:r>
        <w:rPr>
          <w:rFonts w:hint="eastAsia" w:ascii="宋体" w:hAnsi="宋体" w:eastAsia="宋体" w:cs="宋体"/>
          <w:b/>
          <w:bCs/>
          <w:color w:val="auto"/>
          <w:sz w:val="24"/>
          <w:szCs w:val="24"/>
          <w:highlight w:val="none"/>
          <w:shd w:val="clear" w:color="auto" w:fill="auto"/>
          <w:lang w:eastAsia="zh-CN"/>
        </w:rPr>
        <w:t>，所有人员夏季高温补助费不低于国家及本省相关规定执行。即不低于</w:t>
      </w:r>
      <w:r>
        <w:rPr>
          <w:rFonts w:hint="eastAsia" w:ascii="宋体" w:hAnsi="宋体" w:eastAsia="宋体" w:cs="宋体"/>
          <w:b/>
          <w:bCs/>
          <w:color w:val="auto"/>
          <w:sz w:val="24"/>
          <w:szCs w:val="24"/>
          <w:highlight w:val="none"/>
          <w:shd w:val="clear" w:color="auto" w:fill="auto"/>
          <w:lang w:val="en-US" w:eastAsia="zh-CN"/>
        </w:rPr>
        <w:t>300元人/每月，6月至9月共4个月。</w:t>
      </w:r>
      <w:r>
        <w:rPr>
          <w:rFonts w:hint="eastAsia" w:ascii="宋体" w:hAnsi="宋体" w:eastAsia="宋体" w:cs="宋体"/>
          <w:b/>
          <w:bCs/>
          <w:color w:val="auto"/>
          <w:sz w:val="24"/>
          <w:szCs w:val="24"/>
          <w:highlight w:val="none"/>
          <w:shd w:val="clear" w:color="auto" w:fill="auto"/>
          <w:lang w:eastAsia="zh-CN"/>
        </w:rPr>
        <w:t>服装及装备费用不得低于</w:t>
      </w:r>
      <w:r>
        <w:rPr>
          <w:rFonts w:hint="eastAsia" w:ascii="宋体" w:hAnsi="宋体" w:eastAsia="宋体" w:cs="宋体"/>
          <w:b/>
          <w:bCs/>
          <w:color w:val="auto"/>
          <w:sz w:val="24"/>
          <w:szCs w:val="24"/>
          <w:highlight w:val="none"/>
          <w:shd w:val="clear" w:color="auto" w:fill="auto"/>
          <w:lang w:val="en-US" w:eastAsia="zh-CN"/>
        </w:rPr>
        <w:t>1000</w:t>
      </w:r>
      <w:r>
        <w:rPr>
          <w:rFonts w:hint="eastAsia" w:ascii="宋体" w:hAnsi="宋体" w:eastAsia="宋体" w:cs="宋体"/>
          <w:b/>
          <w:bCs/>
          <w:color w:val="auto"/>
          <w:sz w:val="24"/>
          <w:szCs w:val="24"/>
          <w:highlight w:val="none"/>
          <w:shd w:val="clear" w:color="auto" w:fill="auto"/>
        </w:rPr>
        <w:t>元人/每年</w:t>
      </w:r>
      <w:r>
        <w:rPr>
          <w:rFonts w:hint="eastAsia" w:ascii="宋体" w:hAnsi="宋体" w:eastAsia="宋体" w:cs="宋体"/>
          <w:b/>
          <w:bCs/>
          <w:color w:val="auto"/>
          <w:sz w:val="24"/>
          <w:szCs w:val="24"/>
          <w:highlight w:val="none"/>
          <w:shd w:val="clear" w:color="auto" w:fill="auto"/>
          <w:lang w:eastAsia="zh-CN"/>
        </w:rPr>
        <w:t>，员工</w:t>
      </w:r>
      <w:r>
        <w:rPr>
          <w:rFonts w:hint="eastAsia" w:ascii="宋体" w:hAnsi="宋体" w:eastAsia="宋体" w:cs="宋体"/>
          <w:b/>
          <w:bCs/>
          <w:color w:val="auto"/>
          <w:sz w:val="24"/>
          <w:szCs w:val="24"/>
          <w:highlight w:val="none"/>
          <w:shd w:val="clear" w:color="auto" w:fill="auto"/>
          <w:lang w:val="en-US" w:eastAsia="zh-CN"/>
        </w:rPr>
        <w:t>福利</w:t>
      </w:r>
      <w:r>
        <w:rPr>
          <w:rFonts w:hint="eastAsia" w:ascii="宋体" w:hAnsi="宋体" w:eastAsia="宋体" w:cs="宋体"/>
          <w:b/>
          <w:bCs/>
          <w:color w:val="auto"/>
          <w:sz w:val="24"/>
          <w:szCs w:val="24"/>
          <w:highlight w:val="none"/>
          <w:shd w:val="clear" w:color="auto" w:fill="auto"/>
          <w:lang w:eastAsia="zh-CN"/>
        </w:rPr>
        <w:t>不得低于</w:t>
      </w:r>
      <w:r>
        <w:rPr>
          <w:rFonts w:hint="eastAsia" w:ascii="宋体" w:hAnsi="宋体" w:eastAsia="宋体" w:cs="宋体"/>
          <w:b/>
          <w:bCs/>
          <w:color w:val="auto"/>
          <w:sz w:val="24"/>
          <w:szCs w:val="24"/>
          <w:highlight w:val="none"/>
          <w:shd w:val="clear" w:color="auto" w:fill="auto"/>
          <w:lang w:val="en-US" w:eastAsia="zh-CN"/>
        </w:rPr>
        <w:t>1000</w:t>
      </w:r>
      <w:r>
        <w:rPr>
          <w:rFonts w:hint="eastAsia" w:ascii="宋体" w:hAnsi="宋体" w:eastAsia="宋体" w:cs="宋体"/>
          <w:b/>
          <w:bCs/>
          <w:color w:val="auto"/>
          <w:sz w:val="24"/>
          <w:szCs w:val="24"/>
          <w:highlight w:val="none"/>
          <w:shd w:val="clear" w:color="auto" w:fill="auto"/>
        </w:rPr>
        <w:t>元人/每年</w:t>
      </w:r>
      <w:r>
        <w:rPr>
          <w:rFonts w:hint="eastAsia" w:ascii="宋体" w:hAnsi="宋体" w:eastAsia="宋体" w:cs="宋体"/>
          <w:b/>
          <w:bCs/>
          <w:color w:val="auto"/>
          <w:sz w:val="24"/>
          <w:szCs w:val="24"/>
          <w:highlight w:val="none"/>
          <w:shd w:val="clear" w:color="auto" w:fill="auto"/>
          <w:lang w:eastAsia="zh-CN"/>
        </w:rPr>
        <w:t>，办公及清洁耗材费不得低于</w:t>
      </w:r>
      <w:r>
        <w:rPr>
          <w:rFonts w:hint="eastAsia" w:ascii="宋体" w:hAnsi="宋体" w:eastAsia="宋体" w:cs="宋体"/>
          <w:b/>
          <w:bCs/>
          <w:color w:val="auto"/>
          <w:sz w:val="24"/>
          <w:szCs w:val="24"/>
          <w:highlight w:val="none"/>
          <w:shd w:val="clear" w:color="auto" w:fill="auto"/>
          <w:lang w:val="en-US" w:eastAsia="zh-CN"/>
        </w:rPr>
        <w:t>1000</w:t>
      </w:r>
      <w:r>
        <w:rPr>
          <w:rFonts w:hint="eastAsia" w:ascii="宋体" w:hAnsi="宋体" w:eastAsia="宋体" w:cs="宋体"/>
          <w:b/>
          <w:bCs/>
          <w:color w:val="auto"/>
          <w:sz w:val="24"/>
          <w:szCs w:val="24"/>
          <w:highlight w:val="none"/>
          <w:shd w:val="clear" w:color="auto" w:fill="auto"/>
        </w:rPr>
        <w:t>元人/每年</w:t>
      </w:r>
      <w:r>
        <w:rPr>
          <w:rFonts w:hint="eastAsia" w:ascii="宋体" w:hAnsi="宋体" w:eastAsia="宋体" w:cs="宋体"/>
          <w:b/>
          <w:bCs/>
          <w:color w:val="auto"/>
          <w:sz w:val="24"/>
          <w:szCs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rPr>
        <w:t>税金费率不得低于6.72%。</w:t>
      </w:r>
    </w:p>
    <w:p w14:paraId="4C13EDAE">
      <w:pPr>
        <w:pageBreakBefore w:val="0"/>
        <w:widowControl w:val="0"/>
        <w:spacing w:line="460" w:lineRule="exact"/>
        <w:ind w:left="0" w:firstLine="47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eastAsia="zh-CN"/>
        </w:rPr>
        <w:t>供应商</w:t>
      </w:r>
      <w:r>
        <w:rPr>
          <w:rFonts w:hint="eastAsia" w:ascii="宋体" w:hAnsi="宋体" w:eastAsia="宋体" w:cs="宋体"/>
          <w:b/>
          <w:bCs/>
          <w:color w:val="auto"/>
          <w:sz w:val="24"/>
          <w:szCs w:val="24"/>
          <w:highlight w:val="none"/>
          <w:shd w:val="clear" w:color="auto" w:fill="auto"/>
          <w:lang w:val="zh-CN"/>
        </w:rPr>
        <w:t>所提供人员的费用不得低于上述标准进行测算，</w:t>
      </w:r>
      <w:r>
        <w:rPr>
          <w:rFonts w:hint="eastAsia" w:ascii="宋体" w:hAnsi="宋体" w:eastAsia="宋体" w:cs="宋体"/>
          <w:b/>
          <w:color w:val="auto"/>
          <w:sz w:val="24"/>
          <w:szCs w:val="24"/>
          <w:highlight w:val="none"/>
          <w:shd w:val="clear" w:color="auto" w:fill="auto"/>
        </w:rPr>
        <w:t>否则</w:t>
      </w:r>
      <w:r>
        <w:rPr>
          <w:rFonts w:hint="eastAsia" w:ascii="宋体" w:hAnsi="宋体" w:eastAsia="宋体" w:cs="宋体"/>
          <w:b/>
          <w:bCs/>
          <w:color w:val="auto"/>
          <w:sz w:val="24"/>
          <w:szCs w:val="24"/>
          <w:highlight w:val="none"/>
          <w:shd w:val="clear" w:color="auto" w:fill="auto"/>
          <w:lang w:val="zh-CN"/>
        </w:rPr>
        <w:t>视为未实质性响应</w:t>
      </w:r>
      <w:r>
        <w:rPr>
          <w:rFonts w:hint="eastAsia" w:ascii="宋体" w:hAnsi="宋体" w:eastAsia="宋体" w:cs="宋体"/>
          <w:b/>
          <w:bCs/>
          <w:color w:val="auto"/>
          <w:sz w:val="24"/>
          <w:szCs w:val="24"/>
          <w:highlight w:val="none"/>
          <w:shd w:val="clear" w:color="auto" w:fill="auto"/>
          <w:lang w:val="en-US" w:eastAsia="zh-CN"/>
        </w:rPr>
        <w:t>磋商</w:t>
      </w:r>
      <w:r>
        <w:rPr>
          <w:rFonts w:hint="eastAsia" w:ascii="宋体" w:hAnsi="宋体" w:eastAsia="宋体" w:cs="宋体"/>
          <w:b/>
          <w:bCs/>
          <w:color w:val="auto"/>
          <w:sz w:val="24"/>
          <w:szCs w:val="24"/>
          <w:highlight w:val="none"/>
          <w:shd w:val="clear" w:color="auto" w:fill="auto"/>
          <w:lang w:val="zh-CN"/>
        </w:rPr>
        <w:t>文件要求</w:t>
      </w:r>
      <w:r>
        <w:rPr>
          <w:rFonts w:hint="eastAsia" w:ascii="宋体" w:hAnsi="宋体" w:eastAsia="宋体" w:cs="宋体"/>
          <w:b/>
          <w:color w:val="auto"/>
          <w:sz w:val="24"/>
          <w:szCs w:val="24"/>
          <w:highlight w:val="none"/>
          <w:shd w:val="clear" w:color="auto" w:fill="auto"/>
        </w:rPr>
        <w:t>。如果</w:t>
      </w:r>
      <w:r>
        <w:rPr>
          <w:rFonts w:hint="eastAsia" w:ascii="宋体" w:hAnsi="宋体" w:eastAsia="宋体" w:cs="宋体"/>
          <w:b/>
          <w:color w:val="auto"/>
          <w:sz w:val="24"/>
          <w:szCs w:val="24"/>
          <w:highlight w:val="none"/>
          <w:shd w:val="clear" w:color="auto" w:fill="auto"/>
          <w:lang w:val="en-US" w:eastAsia="zh-CN"/>
        </w:rPr>
        <w:t>磋商</w:t>
      </w:r>
      <w:r>
        <w:rPr>
          <w:rFonts w:hint="eastAsia" w:ascii="宋体" w:hAnsi="宋体" w:eastAsia="宋体" w:cs="宋体"/>
          <w:b/>
          <w:color w:val="auto"/>
          <w:sz w:val="24"/>
          <w:szCs w:val="24"/>
          <w:highlight w:val="none"/>
          <w:shd w:val="clear" w:color="auto" w:fill="auto"/>
        </w:rPr>
        <w:t>公告发布之后</w:t>
      </w:r>
      <w:r>
        <w:rPr>
          <w:rFonts w:hint="eastAsia" w:ascii="宋体" w:hAnsi="宋体" w:eastAsia="宋体" w:cs="宋体"/>
          <w:b/>
          <w:color w:val="auto"/>
          <w:sz w:val="24"/>
          <w:szCs w:val="24"/>
          <w:highlight w:val="none"/>
          <w:shd w:val="clear" w:color="auto" w:fill="auto"/>
          <w:lang w:val="en-US" w:eastAsia="zh-CN"/>
        </w:rPr>
        <w:t>开标前</w:t>
      </w:r>
      <w:r>
        <w:rPr>
          <w:rFonts w:hint="eastAsia" w:ascii="宋体" w:hAnsi="宋体" w:eastAsia="宋体" w:cs="宋体"/>
          <w:b/>
          <w:color w:val="auto"/>
          <w:sz w:val="24"/>
          <w:szCs w:val="24"/>
          <w:highlight w:val="none"/>
          <w:shd w:val="clear" w:color="auto" w:fill="auto"/>
        </w:rPr>
        <w:t>遇政府调整职工最低工资标准或社会保险缴纳基数，</w:t>
      </w:r>
      <w:r>
        <w:rPr>
          <w:rFonts w:hint="eastAsia" w:ascii="宋体" w:hAnsi="宋体" w:eastAsia="宋体" w:cs="宋体"/>
          <w:b/>
          <w:color w:val="auto"/>
          <w:sz w:val="24"/>
          <w:szCs w:val="24"/>
          <w:highlight w:val="none"/>
          <w:shd w:val="clear" w:color="auto" w:fill="auto"/>
          <w:lang w:val="en-US" w:eastAsia="zh-CN"/>
        </w:rPr>
        <w:t>磋商小组进行符合性审查时</w:t>
      </w:r>
      <w:r>
        <w:rPr>
          <w:rFonts w:hint="eastAsia" w:ascii="宋体" w:hAnsi="宋体" w:eastAsia="宋体" w:cs="宋体"/>
          <w:b/>
          <w:color w:val="auto"/>
          <w:sz w:val="24"/>
          <w:szCs w:val="24"/>
          <w:highlight w:val="none"/>
          <w:shd w:val="clear" w:color="auto" w:fill="auto"/>
        </w:rPr>
        <w:t>可仍按上述标准</w:t>
      </w:r>
      <w:r>
        <w:rPr>
          <w:rFonts w:hint="eastAsia" w:ascii="宋体" w:hAnsi="宋体" w:eastAsia="宋体" w:cs="宋体"/>
          <w:b/>
          <w:color w:val="auto"/>
          <w:sz w:val="24"/>
          <w:szCs w:val="24"/>
          <w:highlight w:val="none"/>
          <w:shd w:val="clear" w:color="auto" w:fill="auto"/>
          <w:lang w:val="en-US" w:eastAsia="zh-CN"/>
        </w:rPr>
        <w:t>审查</w:t>
      </w:r>
      <w:r>
        <w:rPr>
          <w:rFonts w:hint="eastAsia" w:ascii="宋体" w:hAnsi="宋体" w:eastAsia="宋体" w:cs="宋体"/>
          <w:b/>
          <w:color w:val="auto"/>
          <w:sz w:val="24"/>
          <w:szCs w:val="24"/>
          <w:highlight w:val="none"/>
          <w:shd w:val="clear" w:color="auto" w:fill="auto"/>
        </w:rPr>
        <w:t>，中标后，</w:t>
      </w:r>
      <w:r>
        <w:rPr>
          <w:rFonts w:hint="eastAsia" w:ascii="宋体" w:hAnsi="宋体" w:eastAsia="宋体" w:cs="宋体"/>
          <w:b/>
          <w:color w:val="auto"/>
          <w:sz w:val="24"/>
          <w:szCs w:val="24"/>
          <w:highlight w:val="none"/>
          <w:shd w:val="clear" w:color="auto" w:fill="auto"/>
          <w:lang w:val="en-US" w:eastAsia="zh-CN"/>
        </w:rPr>
        <w:t>中标人应按照最新政策文件规定执行</w:t>
      </w:r>
      <w:r>
        <w:rPr>
          <w:rFonts w:hint="eastAsia" w:ascii="宋体" w:hAnsi="宋体" w:eastAsia="宋体" w:cs="宋体"/>
          <w:b/>
          <w:color w:val="auto"/>
          <w:sz w:val="24"/>
          <w:szCs w:val="24"/>
          <w:highlight w:val="none"/>
          <w:shd w:val="clear" w:color="auto" w:fill="auto"/>
        </w:rPr>
        <w:t>。</w:t>
      </w:r>
    </w:p>
    <w:p w14:paraId="77BD7CC0">
      <w:pPr>
        <w:pageBreakBefore w:val="0"/>
        <w:widowControl w:val="0"/>
        <w:spacing w:line="46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12.5 </w:t>
      </w:r>
      <w:r>
        <w:rPr>
          <w:rFonts w:hint="eastAsia" w:ascii="宋体" w:hAnsi="宋体" w:eastAsia="宋体" w:cs="宋体"/>
          <w:color w:val="auto"/>
          <w:sz w:val="24"/>
          <w:szCs w:val="24"/>
          <w:highlight w:val="none"/>
          <w:shd w:val="clear" w:color="auto" w:fill="auto"/>
          <w:lang w:eastAsia="zh-CN"/>
        </w:rPr>
        <w:t>供应商</w:t>
      </w:r>
      <w:r>
        <w:rPr>
          <w:rFonts w:hint="eastAsia" w:ascii="宋体" w:hAnsi="宋体" w:eastAsia="宋体" w:cs="宋体"/>
          <w:color w:val="auto"/>
          <w:sz w:val="24"/>
          <w:szCs w:val="24"/>
          <w:highlight w:val="none"/>
          <w:shd w:val="clear" w:color="auto" w:fill="auto"/>
        </w:rPr>
        <w:t>根据招标内容的要求准确报价，一经报出，不得更改。</w:t>
      </w:r>
    </w:p>
    <w:p w14:paraId="457FD3B8">
      <w:pPr>
        <w:pageBreakBefore w:val="0"/>
        <w:widowControl w:val="0"/>
        <w:spacing w:line="460" w:lineRule="exact"/>
        <w:ind w:left="0" w:firstLine="4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t>12.6投标报价的单位为人民币(元)/年。如果未能按合同、</w:t>
      </w:r>
      <w:r>
        <w:rPr>
          <w:rFonts w:hint="eastAsia" w:ascii="宋体" w:hAnsi="宋体" w:eastAsia="宋体" w:cs="宋体"/>
          <w:color w:val="auto"/>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sz w:val="24"/>
          <w:szCs w:val="24"/>
          <w:highlight w:val="none"/>
          <w:lang w:val="zh-CN"/>
        </w:rPr>
        <w:t>合同期满</w:t>
      </w:r>
      <w:r>
        <w:rPr>
          <w:rFonts w:hint="eastAsia" w:ascii="宋体" w:hAnsi="宋体" w:eastAsia="宋体" w:cs="宋体"/>
          <w:sz w:val="24"/>
          <w:szCs w:val="24"/>
          <w:highlight w:val="none"/>
          <w:lang w:val="en-US" w:eastAsia="zh-CN"/>
        </w:rPr>
        <w:t>并完成与后续物业服务</w:t>
      </w:r>
      <w:r>
        <w:rPr>
          <w:rFonts w:hint="eastAsia" w:ascii="宋体" w:hAnsi="宋体" w:eastAsia="宋体" w:cs="宋体"/>
          <w:sz w:val="24"/>
          <w:szCs w:val="24"/>
          <w:highlight w:val="none"/>
          <w:lang w:val="zh-CN"/>
        </w:rPr>
        <w:t>企业的衔接后，方可退出，经本单位验收合格，</w:t>
      </w:r>
      <w:r>
        <w:rPr>
          <w:rFonts w:hint="eastAsia" w:ascii="宋体" w:hAnsi="宋体" w:eastAsia="宋体" w:cs="宋体"/>
          <w:sz w:val="24"/>
          <w:szCs w:val="24"/>
          <w:highlight w:val="none"/>
          <w:lang w:val="en-US" w:eastAsia="zh-CN"/>
        </w:rPr>
        <w:t>退出本物业管理时必须向本单位移交全套档案等资料</w:t>
      </w:r>
      <w:r>
        <w:rPr>
          <w:rFonts w:hint="eastAsia" w:ascii="宋体" w:hAnsi="宋体" w:eastAsia="宋体" w:cs="宋体"/>
          <w:sz w:val="24"/>
          <w:szCs w:val="24"/>
          <w:highlight w:val="none"/>
          <w:lang w:val="zh-CN"/>
        </w:rPr>
        <w:t>，同时退还履约保证金余额。</w:t>
      </w:r>
    </w:p>
    <w:p w14:paraId="64E78A6F">
      <w:pPr>
        <w:pageBreakBefore w:val="0"/>
        <w:widowControl w:val="0"/>
        <w:spacing w:line="46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12.7对于超出</w:t>
      </w:r>
      <w:r>
        <w:rPr>
          <w:rFonts w:hint="eastAsia" w:ascii="宋体" w:hAnsi="宋体" w:eastAsia="宋体" w:cs="宋体"/>
          <w:color w:val="auto"/>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文件的其他临时性服务项目，由甲乙双方协商解决。</w:t>
      </w:r>
    </w:p>
    <w:p w14:paraId="4E80DBA2">
      <w:pPr>
        <w:pStyle w:val="32"/>
        <w:keepNext/>
        <w:keepLines/>
        <w:pageBreakBefore w:val="0"/>
        <w:widowControl w:val="0"/>
        <w:spacing w:beforeAutospacing="0" w:afterAutospacing="0" w:line="460" w:lineRule="exact"/>
        <w:ind w:left="0"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13、技术要求响应及偏离表、商务要求响应及偏离表</w:t>
      </w:r>
    </w:p>
    <w:p w14:paraId="2599B28E">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13.1供应商需对磋商文件中的技术要求与商务要求逐项作出响应或偏离，并说明原因。</w:t>
      </w:r>
    </w:p>
    <w:p w14:paraId="269AF0FF">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13.2供应商可在响应文件中提供认为需要的其他技术文件或说明。</w:t>
      </w:r>
    </w:p>
    <w:p w14:paraId="642C4631">
      <w:pPr>
        <w:pStyle w:val="32"/>
        <w:keepNext/>
        <w:keepLines/>
        <w:pageBreakBefore w:val="0"/>
        <w:widowControl w:val="0"/>
        <w:spacing w:beforeAutospacing="0" w:afterAutospacing="0" w:line="460" w:lineRule="exact"/>
        <w:ind w:left="0"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14、服务承诺、培训计划、人员安排及其他</w:t>
      </w:r>
    </w:p>
    <w:p w14:paraId="7BFD9258">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14.1供应商需根据磋商文件要求提供有关售后服务的管理制度，售后服务机构的分布情况，售后服务人员的数量、素质、技术水平及售后服务的反应能力等。</w:t>
      </w:r>
    </w:p>
    <w:p w14:paraId="4A4577CE">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14.2供应商需根据磋商文件要求提供培训计划。</w:t>
      </w:r>
    </w:p>
    <w:p w14:paraId="088A6326">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14.3供应商需根据磋商文件要求提供磋商响应标的的主要组成部分、功能设计、实现思路及关键技术等。</w:t>
      </w:r>
    </w:p>
    <w:p w14:paraId="0AF4EACC">
      <w:pPr>
        <w:pStyle w:val="32"/>
        <w:keepNext/>
        <w:keepLines/>
        <w:pageBreakBefore w:val="0"/>
        <w:widowControl w:val="0"/>
        <w:spacing w:beforeAutospacing="0" w:afterAutospacing="0" w:line="460" w:lineRule="exact"/>
        <w:ind w:left="0" w:firstLine="420"/>
        <w:jc w:val="both"/>
        <w:rPr>
          <w:rFonts w:hint="eastAsia" w:ascii="宋体" w:hAnsi="宋体" w:eastAsia="宋体" w:cs="宋体"/>
          <w:color w:val="auto"/>
          <w:sz w:val="24"/>
          <w:szCs w:val="24"/>
          <w:highlight w:val="none"/>
          <w:shd w:val="clear" w:color="auto" w:fill="auto"/>
        </w:rPr>
      </w:pPr>
      <w:bookmarkStart w:id="71" w:name="_Toc14577359"/>
      <w:bookmarkStart w:id="72" w:name="_Toc49090510"/>
      <w:r>
        <w:rPr>
          <w:rFonts w:hint="eastAsia" w:ascii="宋体" w:hAnsi="宋体" w:eastAsia="宋体" w:cs="宋体"/>
          <w:color w:val="auto"/>
          <w:sz w:val="24"/>
          <w:szCs w:val="24"/>
          <w:highlight w:val="none"/>
          <w:shd w:val="clear" w:color="auto" w:fill="auto"/>
        </w:rPr>
        <w:t>15、磋商响应函</w:t>
      </w:r>
      <w:bookmarkEnd w:id="71"/>
      <w:bookmarkEnd w:id="72"/>
    </w:p>
    <w:p w14:paraId="18483F26">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15.1供应商应按照磋商文件中提供的格式完整、正确填写磋商响应函。</w:t>
      </w:r>
    </w:p>
    <w:p w14:paraId="5DA85552">
      <w:pPr>
        <w:pStyle w:val="32"/>
        <w:keepNext/>
        <w:keepLines/>
        <w:pageBreakBefore w:val="0"/>
        <w:widowControl w:val="0"/>
        <w:spacing w:beforeAutospacing="0" w:afterAutospacing="0" w:line="460" w:lineRule="exact"/>
        <w:ind w:left="0" w:firstLine="420"/>
        <w:jc w:val="both"/>
        <w:rPr>
          <w:rFonts w:hint="eastAsia" w:ascii="宋体" w:hAnsi="宋体" w:eastAsia="宋体" w:cs="宋体"/>
          <w:color w:val="auto"/>
          <w:sz w:val="24"/>
          <w:szCs w:val="24"/>
          <w:highlight w:val="none"/>
          <w:shd w:val="clear" w:color="auto" w:fill="auto"/>
        </w:rPr>
      </w:pPr>
      <w:bookmarkStart w:id="73" w:name="_Toc49090511"/>
      <w:bookmarkStart w:id="74" w:name="_Toc14577360"/>
      <w:r>
        <w:rPr>
          <w:rFonts w:hint="eastAsia" w:ascii="宋体" w:hAnsi="宋体" w:eastAsia="宋体" w:cs="宋体"/>
          <w:color w:val="auto"/>
          <w:sz w:val="24"/>
          <w:szCs w:val="24"/>
          <w:highlight w:val="none"/>
          <w:shd w:val="clear" w:color="auto" w:fill="auto"/>
        </w:rPr>
        <w:t>16、磋商有效期</w:t>
      </w:r>
      <w:bookmarkEnd w:id="73"/>
      <w:bookmarkEnd w:id="74"/>
    </w:p>
    <w:p w14:paraId="7D6CEB32">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16.1磋商有效期为</w:t>
      </w:r>
      <w:r>
        <w:rPr>
          <w:rFonts w:hint="eastAsia" w:ascii="宋体" w:hAnsi="宋体" w:eastAsia="宋体" w:cs="宋体"/>
          <w:color w:val="auto"/>
          <w:sz w:val="24"/>
          <w:szCs w:val="24"/>
          <w:highlight w:val="none"/>
          <w:shd w:val="clear" w:color="auto" w:fill="auto"/>
          <w:lang w:eastAsia="zh-CN"/>
        </w:rPr>
        <w:t>行政服务中心</w:t>
      </w:r>
      <w:r>
        <w:rPr>
          <w:rFonts w:hint="eastAsia" w:ascii="宋体" w:hAnsi="宋体" w:eastAsia="宋体" w:cs="宋体"/>
          <w:color w:val="auto"/>
          <w:sz w:val="24"/>
          <w:szCs w:val="24"/>
          <w:highlight w:val="none"/>
          <w:shd w:val="clear" w:color="auto" w:fill="auto"/>
        </w:rPr>
        <w:t>规定的提交响应文件截止之日后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auto"/>
          <w:sz w:val="24"/>
          <w:szCs w:val="24"/>
          <w:highlight w:val="none"/>
          <w:shd w:val="clear" w:color="auto" w:fill="auto"/>
        </w:rPr>
        <w:t>。磋商有效期比规定短的将被视为非实质性响应磋商文件而予以拒绝。</w:t>
      </w:r>
    </w:p>
    <w:p w14:paraId="71B80656">
      <w:pPr>
        <w:pStyle w:val="32"/>
        <w:keepNext/>
        <w:keepLines/>
        <w:pageBreakBefore w:val="0"/>
        <w:widowControl w:val="0"/>
        <w:spacing w:beforeAutospacing="0" w:afterAutospacing="0" w:line="460" w:lineRule="exact"/>
        <w:ind w:left="0"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17、磋商有效期的延长</w:t>
      </w:r>
    </w:p>
    <w:p w14:paraId="0C8EF974">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17.1在特殊情况下，</w:t>
      </w:r>
      <w:r>
        <w:rPr>
          <w:rFonts w:hint="eastAsia" w:ascii="宋体" w:hAnsi="宋体" w:eastAsia="宋体" w:cs="宋体"/>
          <w:color w:val="auto"/>
          <w:sz w:val="24"/>
          <w:szCs w:val="24"/>
          <w:highlight w:val="none"/>
          <w:shd w:val="clear" w:color="auto" w:fill="auto"/>
          <w:lang w:eastAsia="zh-CN"/>
        </w:rPr>
        <w:t>行政服务中心</w:t>
      </w:r>
      <w:r>
        <w:rPr>
          <w:rFonts w:hint="eastAsia" w:ascii="宋体" w:hAnsi="宋体" w:eastAsia="宋体" w:cs="宋体"/>
          <w:color w:val="auto"/>
          <w:sz w:val="24"/>
          <w:szCs w:val="24"/>
          <w:highlight w:val="none"/>
          <w:shd w:val="clear" w:color="auto" w:fill="auto"/>
        </w:rPr>
        <w:t>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shd w:val="clear" w:color="auto" w:fill="auto"/>
          <w:lang w:eastAsia="zh-CN"/>
        </w:rPr>
        <w:t>行政服务中心</w:t>
      </w:r>
      <w:r>
        <w:rPr>
          <w:rFonts w:hint="eastAsia" w:ascii="宋体" w:hAnsi="宋体" w:eastAsia="宋体" w:cs="宋体"/>
          <w:color w:val="auto"/>
          <w:sz w:val="24"/>
          <w:szCs w:val="24"/>
          <w:highlight w:val="none"/>
          <w:shd w:val="clear" w:color="auto" w:fill="auto"/>
        </w:rPr>
        <w:t>的这一要求而放弃磋商，同意延长磋商有效期的供应商既不能要求也不允许修改其响应文件。受磋商有效期约束的所有权利与义务均延长至新的有效期。</w:t>
      </w:r>
    </w:p>
    <w:p w14:paraId="37D31F33">
      <w:pPr>
        <w:pStyle w:val="32"/>
        <w:keepNext/>
        <w:keepLines/>
        <w:pageBreakBefore w:val="0"/>
        <w:widowControl w:val="0"/>
        <w:spacing w:beforeAutospacing="0" w:afterAutospacing="0" w:line="460" w:lineRule="exact"/>
        <w:ind w:left="0" w:firstLine="482"/>
        <w:jc w:val="both"/>
        <w:rPr>
          <w:rFonts w:hint="eastAsia" w:ascii="宋体" w:hAnsi="宋体" w:eastAsia="宋体" w:cs="宋体"/>
          <w:color w:val="auto"/>
          <w:sz w:val="24"/>
          <w:szCs w:val="24"/>
          <w:highlight w:val="none"/>
          <w:shd w:val="clear" w:color="auto" w:fill="auto"/>
        </w:rPr>
      </w:pPr>
      <w:bookmarkStart w:id="75" w:name="_Toc20823296"/>
      <w:bookmarkStart w:id="76" w:name="_Toc16938540"/>
      <w:bookmarkStart w:id="77" w:name="_Toc513029224"/>
      <w:bookmarkStart w:id="78" w:name="_Toc120614217"/>
      <w:bookmarkStart w:id="79" w:name="_Hlt26954852"/>
      <w:bookmarkStart w:id="80" w:name="_Hlt26954739"/>
      <w:r>
        <w:rPr>
          <w:rFonts w:hint="eastAsia" w:ascii="宋体" w:hAnsi="宋体" w:eastAsia="宋体" w:cs="宋体"/>
          <w:b/>
          <w:color w:val="auto"/>
          <w:sz w:val="24"/>
          <w:szCs w:val="24"/>
          <w:highlight w:val="none"/>
          <w:shd w:val="clear" w:color="auto" w:fill="auto"/>
        </w:rPr>
        <w:t>四、响应文件的递交</w:t>
      </w:r>
      <w:bookmarkEnd w:id="75"/>
      <w:bookmarkEnd w:id="76"/>
      <w:bookmarkEnd w:id="77"/>
      <w:bookmarkEnd w:id="78"/>
    </w:p>
    <w:p w14:paraId="77BBFA55">
      <w:pPr>
        <w:pStyle w:val="32"/>
        <w:keepNext/>
        <w:keepLines/>
        <w:pageBreakBefore w:val="0"/>
        <w:widowControl w:val="0"/>
        <w:spacing w:beforeAutospacing="0" w:afterAutospacing="0" w:line="460" w:lineRule="exact"/>
        <w:ind w:left="0" w:firstLine="560"/>
        <w:jc w:val="both"/>
        <w:rPr>
          <w:rFonts w:hint="eastAsia" w:ascii="宋体" w:hAnsi="宋体" w:eastAsia="宋体" w:cs="宋体"/>
          <w:color w:val="auto"/>
          <w:sz w:val="24"/>
          <w:szCs w:val="24"/>
          <w:highlight w:val="none"/>
          <w:shd w:val="clear" w:color="auto" w:fill="auto"/>
        </w:rPr>
      </w:pPr>
      <w:bookmarkStart w:id="81" w:name="_Toc462564084"/>
      <w:bookmarkStart w:id="82" w:name="_Toc513029225"/>
      <w:bookmarkStart w:id="83" w:name="_Toc20823297"/>
      <w:bookmarkStart w:id="84" w:name="_Toc16938541"/>
      <w:r>
        <w:rPr>
          <w:rFonts w:hint="eastAsia" w:ascii="宋体" w:hAnsi="宋体" w:eastAsia="宋体" w:cs="宋体"/>
          <w:color w:val="auto"/>
          <w:sz w:val="24"/>
          <w:szCs w:val="24"/>
          <w:highlight w:val="none"/>
          <w:shd w:val="clear" w:color="auto" w:fill="auto"/>
        </w:rPr>
        <w:t>18、电子磋商</w:t>
      </w:r>
      <w:bookmarkEnd w:id="81"/>
      <w:bookmarkEnd w:id="82"/>
      <w:bookmarkEnd w:id="83"/>
      <w:bookmarkEnd w:id="84"/>
      <w:r>
        <w:rPr>
          <w:rFonts w:hint="eastAsia" w:ascii="宋体" w:hAnsi="宋体" w:eastAsia="宋体" w:cs="宋体"/>
          <w:color w:val="auto"/>
          <w:sz w:val="24"/>
          <w:szCs w:val="24"/>
          <w:highlight w:val="none"/>
          <w:shd w:val="clear" w:color="auto" w:fill="auto"/>
        </w:rPr>
        <w:t>响应文件的递交</w:t>
      </w:r>
    </w:p>
    <w:p w14:paraId="118ECE54">
      <w:pPr>
        <w:pStyle w:val="32"/>
        <w:pageBreakBefore w:val="0"/>
        <w:widowControl w:val="0"/>
        <w:spacing w:beforeAutospacing="0" w:afterAutospacing="0" w:line="460" w:lineRule="exact"/>
        <w:ind w:left="0" w:firstLine="6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18.1供应商应当按照《操作手册》规定，在提交响应文件截止时间前制作并上传电子响应文件。</w:t>
      </w:r>
      <w:bookmarkStart w:id="85" w:name="_Toc16938542"/>
      <w:bookmarkEnd w:id="85"/>
      <w:bookmarkStart w:id="86" w:name="_Toc20823298"/>
      <w:bookmarkEnd w:id="86"/>
      <w:bookmarkStart w:id="87" w:name="_Toc513029226"/>
    </w:p>
    <w:p w14:paraId="682573A6">
      <w:pPr>
        <w:pStyle w:val="32"/>
        <w:keepNext/>
        <w:keepLines/>
        <w:pageBreakBefore w:val="0"/>
        <w:widowControl w:val="0"/>
        <w:spacing w:beforeAutospacing="0" w:afterAutospacing="0" w:line="460" w:lineRule="exact"/>
        <w:ind w:left="0" w:firstLine="5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19、提交响应文件截止时间</w:t>
      </w:r>
    </w:p>
    <w:p w14:paraId="585E1CD7">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19.1供应商上传电子响应文件的时间不得迟于磋商公告中规定的提交响应文件截止时间。</w:t>
      </w:r>
    </w:p>
    <w:p w14:paraId="2EE9789E">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供应商应充分考虑到网络环境、网络带宽等风险因素，如因供应商自身原因造成的电子响应文件上传不成功的按照本磋商文件第二章第26.3.2条规定做无效响应处理。</w:t>
      </w:r>
    </w:p>
    <w:p w14:paraId="6E2BD206">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19.2 </w:t>
      </w:r>
      <w:r>
        <w:rPr>
          <w:rFonts w:hint="eastAsia" w:ascii="宋体" w:hAnsi="宋体" w:eastAsia="宋体" w:cs="宋体"/>
          <w:color w:val="auto"/>
          <w:sz w:val="24"/>
          <w:szCs w:val="24"/>
          <w:highlight w:val="none"/>
          <w:lang w:val="en-US" w:eastAsia="zh-CN"/>
        </w:rPr>
        <w:t>采购中心</w:t>
      </w:r>
      <w:r>
        <w:rPr>
          <w:rFonts w:hint="eastAsia" w:ascii="宋体" w:hAnsi="宋体" w:eastAsia="宋体" w:cs="宋体"/>
          <w:color w:val="auto"/>
          <w:sz w:val="24"/>
          <w:szCs w:val="24"/>
          <w:highlight w:val="none"/>
          <w:shd w:val="clear" w:color="auto" w:fill="auto"/>
        </w:rPr>
        <w:t>可以按照规定，通过修改磋商文件酌情延长提交响应文件截止日期，在此情况下，供应商的所有权利和义务以及供应商受制的截止日期均应以延长后新的截止日期为准。</w:t>
      </w:r>
    </w:p>
    <w:p w14:paraId="58280754">
      <w:pPr>
        <w:pStyle w:val="32"/>
        <w:keepNext/>
        <w:keepLines/>
        <w:pageBreakBefore w:val="0"/>
        <w:widowControl w:val="0"/>
        <w:spacing w:beforeAutospacing="0" w:afterAutospacing="0" w:line="460" w:lineRule="exact"/>
        <w:ind w:left="0" w:firstLine="420"/>
        <w:jc w:val="both"/>
        <w:rPr>
          <w:rFonts w:hint="eastAsia" w:ascii="宋体" w:hAnsi="宋体" w:eastAsia="宋体" w:cs="宋体"/>
          <w:color w:val="auto"/>
          <w:sz w:val="24"/>
          <w:szCs w:val="24"/>
          <w:highlight w:val="none"/>
          <w:shd w:val="clear" w:color="auto" w:fill="auto"/>
        </w:rPr>
      </w:pPr>
      <w:bookmarkStart w:id="88" w:name="_Toc16938543"/>
      <w:bookmarkStart w:id="89" w:name="_Toc513029227"/>
      <w:bookmarkStart w:id="90" w:name="_Toc20823299"/>
      <w:r>
        <w:rPr>
          <w:rFonts w:hint="eastAsia" w:ascii="宋体" w:hAnsi="宋体" w:eastAsia="宋体" w:cs="宋体"/>
          <w:color w:val="auto"/>
          <w:sz w:val="24"/>
          <w:szCs w:val="24"/>
          <w:highlight w:val="none"/>
          <w:shd w:val="clear" w:color="auto" w:fill="auto"/>
        </w:rPr>
        <w:t>20、响应文件</w:t>
      </w:r>
      <w:bookmarkEnd w:id="88"/>
      <w:bookmarkEnd w:id="89"/>
      <w:bookmarkEnd w:id="90"/>
      <w:r>
        <w:rPr>
          <w:rFonts w:hint="eastAsia" w:ascii="宋体" w:hAnsi="宋体" w:eastAsia="宋体" w:cs="宋体"/>
          <w:color w:val="auto"/>
          <w:sz w:val="24"/>
          <w:szCs w:val="24"/>
          <w:highlight w:val="none"/>
          <w:shd w:val="clear" w:color="auto" w:fill="auto"/>
        </w:rPr>
        <w:t>的拒收</w:t>
      </w:r>
    </w:p>
    <w:p w14:paraId="07F651A9">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20.1 </w:t>
      </w:r>
      <w:r>
        <w:rPr>
          <w:rFonts w:hint="eastAsia" w:ascii="宋体" w:hAnsi="宋体" w:eastAsia="宋体" w:cs="宋体"/>
          <w:color w:val="auto"/>
          <w:sz w:val="24"/>
          <w:szCs w:val="24"/>
          <w:highlight w:val="none"/>
          <w:lang w:val="en-US" w:eastAsia="zh-CN"/>
        </w:rPr>
        <w:t>采购中心</w:t>
      </w:r>
      <w:r>
        <w:rPr>
          <w:rFonts w:hint="eastAsia" w:ascii="宋体" w:hAnsi="宋体" w:eastAsia="宋体" w:cs="宋体"/>
          <w:color w:val="auto"/>
          <w:sz w:val="24"/>
          <w:szCs w:val="24"/>
          <w:highlight w:val="none"/>
          <w:shd w:val="clear" w:color="auto" w:fill="auto"/>
        </w:rPr>
        <w:t>拒绝接收在其规定的提交响应文件截止时间后上传的任何电子响应文件。</w:t>
      </w:r>
    </w:p>
    <w:p w14:paraId="5C2E60B9">
      <w:pPr>
        <w:pStyle w:val="32"/>
        <w:keepNext/>
        <w:keepLines/>
        <w:pageBreakBefore w:val="0"/>
        <w:widowControl w:val="0"/>
        <w:spacing w:beforeAutospacing="0" w:afterAutospacing="0" w:line="460" w:lineRule="exact"/>
        <w:ind w:left="0" w:firstLine="420"/>
        <w:jc w:val="both"/>
        <w:rPr>
          <w:rFonts w:hint="eastAsia" w:ascii="宋体" w:hAnsi="宋体" w:eastAsia="宋体" w:cs="宋体"/>
          <w:color w:val="auto"/>
          <w:sz w:val="24"/>
          <w:szCs w:val="24"/>
          <w:highlight w:val="none"/>
          <w:shd w:val="clear" w:color="auto" w:fill="auto"/>
        </w:rPr>
      </w:pPr>
      <w:bookmarkStart w:id="91" w:name="_Toc20823300"/>
      <w:bookmarkStart w:id="92" w:name="_Toc513029228"/>
      <w:bookmarkStart w:id="93" w:name="_Toc16938544"/>
      <w:r>
        <w:rPr>
          <w:rFonts w:hint="eastAsia" w:ascii="宋体" w:hAnsi="宋体" w:eastAsia="宋体" w:cs="宋体"/>
          <w:color w:val="auto"/>
          <w:sz w:val="24"/>
          <w:szCs w:val="24"/>
          <w:highlight w:val="none"/>
          <w:shd w:val="clear" w:color="auto" w:fill="auto"/>
        </w:rPr>
        <w:t>21、响应文件的撤回和修改</w:t>
      </w:r>
      <w:bookmarkEnd w:id="91"/>
      <w:bookmarkEnd w:id="92"/>
      <w:bookmarkEnd w:id="93"/>
    </w:p>
    <w:p w14:paraId="0B517234">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21.1响应文件的撤回</w:t>
      </w:r>
    </w:p>
    <w:p w14:paraId="3DC77C6C">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21.1.1 电子响应文件的撤回</w:t>
      </w:r>
    </w:p>
    <w:p w14:paraId="5E504366">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供应商可在提交响应文件截止时间前，撤回其电子响应文件，具体操作方法见《操作手册》。</w:t>
      </w:r>
    </w:p>
    <w:p w14:paraId="342DB4D5">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21.1.2供应商撤回电子响应文件，则认为其不再参与本项目磋商活动。</w:t>
      </w:r>
    </w:p>
    <w:p w14:paraId="218E4137">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21.2响应文件的修改</w:t>
      </w:r>
    </w:p>
    <w:p w14:paraId="01F41C27">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供应商可在提交响应文件截止时间前，对其电子响应文件进行修改，具体操作方法见《操作手册》。</w:t>
      </w:r>
    </w:p>
    <w:p w14:paraId="2BA0F82A">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21.3 在提交响应文件截止时间之后，供应商不得对其电子响应文件作任何修改。</w:t>
      </w:r>
    </w:p>
    <w:p w14:paraId="45BE7A41">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21.4 在提交响应文件截止时间至磋商文件中规定的磋商有效期满之间的这段时间内，供应商不得撤回其响应文件。</w:t>
      </w:r>
    </w:p>
    <w:p w14:paraId="7949F174">
      <w:pPr>
        <w:pStyle w:val="32"/>
        <w:keepNext/>
        <w:keepLines/>
        <w:pageBreakBefore w:val="0"/>
        <w:widowControl w:val="0"/>
        <w:spacing w:beforeAutospacing="0" w:afterAutospacing="0" w:line="460" w:lineRule="exact"/>
        <w:ind w:left="0" w:firstLine="482"/>
        <w:jc w:val="both"/>
        <w:rPr>
          <w:rFonts w:hint="eastAsia" w:ascii="宋体" w:hAnsi="宋体" w:eastAsia="宋体" w:cs="宋体"/>
          <w:color w:val="auto"/>
          <w:sz w:val="24"/>
          <w:szCs w:val="24"/>
          <w:highlight w:val="none"/>
          <w:shd w:val="clear" w:color="auto" w:fill="auto"/>
        </w:rPr>
      </w:pPr>
      <w:bookmarkStart w:id="94" w:name="_Toc120614218"/>
      <w:bookmarkStart w:id="95" w:name="_Toc20823301"/>
      <w:bookmarkStart w:id="96" w:name="_Toc16938545"/>
      <w:bookmarkStart w:id="97" w:name="_Toc513029229"/>
      <w:r>
        <w:rPr>
          <w:rFonts w:hint="eastAsia" w:ascii="宋体" w:hAnsi="宋体" w:eastAsia="宋体" w:cs="宋体"/>
          <w:b/>
          <w:color w:val="auto"/>
          <w:sz w:val="24"/>
          <w:szCs w:val="24"/>
          <w:highlight w:val="none"/>
          <w:shd w:val="clear" w:color="auto" w:fill="auto"/>
        </w:rPr>
        <w:t>五、响应文件的解密与评审</w:t>
      </w:r>
      <w:bookmarkEnd w:id="94"/>
      <w:bookmarkEnd w:id="95"/>
      <w:bookmarkEnd w:id="96"/>
      <w:bookmarkEnd w:id="97"/>
    </w:p>
    <w:p w14:paraId="18C4E6EC">
      <w:pPr>
        <w:pStyle w:val="32"/>
        <w:keepNext/>
        <w:keepLines/>
        <w:pageBreakBefore w:val="0"/>
        <w:widowControl w:val="0"/>
        <w:spacing w:beforeAutospacing="0" w:afterAutospacing="0" w:line="460" w:lineRule="exact"/>
        <w:ind w:left="0" w:firstLine="420"/>
        <w:jc w:val="both"/>
        <w:rPr>
          <w:rFonts w:hint="eastAsia" w:ascii="宋体" w:hAnsi="宋体" w:eastAsia="宋体" w:cs="宋体"/>
          <w:color w:val="auto"/>
          <w:sz w:val="24"/>
          <w:szCs w:val="24"/>
          <w:highlight w:val="none"/>
          <w:shd w:val="clear" w:color="auto" w:fill="auto"/>
        </w:rPr>
      </w:pPr>
      <w:bookmarkStart w:id="98" w:name="_Toc513029230"/>
      <w:bookmarkStart w:id="99" w:name="_Toc20823302"/>
      <w:bookmarkStart w:id="100" w:name="_Toc16938546"/>
      <w:r>
        <w:rPr>
          <w:rFonts w:hint="eastAsia" w:ascii="宋体" w:hAnsi="宋体" w:eastAsia="宋体" w:cs="宋体"/>
          <w:color w:val="auto"/>
          <w:sz w:val="24"/>
          <w:szCs w:val="24"/>
          <w:highlight w:val="none"/>
          <w:shd w:val="clear" w:color="auto" w:fill="auto"/>
        </w:rPr>
        <w:t xml:space="preserve"> 22、</w:t>
      </w:r>
      <w:bookmarkEnd w:id="98"/>
      <w:bookmarkEnd w:id="99"/>
      <w:bookmarkEnd w:id="100"/>
      <w:r>
        <w:rPr>
          <w:rFonts w:hint="eastAsia" w:ascii="宋体" w:hAnsi="宋体" w:eastAsia="宋体" w:cs="宋体"/>
          <w:color w:val="auto"/>
          <w:sz w:val="24"/>
          <w:szCs w:val="24"/>
          <w:highlight w:val="none"/>
          <w:shd w:val="clear" w:color="auto" w:fill="auto"/>
        </w:rPr>
        <w:t>响应文件解密</w:t>
      </w:r>
    </w:p>
    <w:p w14:paraId="48075324">
      <w:pPr>
        <w:pStyle w:val="32"/>
        <w:pageBreakBefore w:val="0"/>
        <w:widowControl w:val="0"/>
        <w:spacing w:beforeAutospacing="0" w:afterAutospacing="0" w:line="460" w:lineRule="exact"/>
        <w:ind w:left="0" w:firstLine="3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22.1供应商应当按照《操作手册》规定，在苏采云系统规定的时间内对磋商响应文件进行解密。</w:t>
      </w:r>
    </w:p>
    <w:p w14:paraId="43C3E7B1">
      <w:pPr>
        <w:pStyle w:val="32"/>
        <w:keepNext/>
        <w:keepLines/>
        <w:pageBreakBefore w:val="0"/>
        <w:widowControl w:val="0"/>
        <w:spacing w:beforeAutospacing="0" w:afterAutospacing="0" w:line="460" w:lineRule="exact"/>
        <w:ind w:left="0" w:firstLine="420"/>
        <w:jc w:val="both"/>
        <w:rPr>
          <w:rFonts w:hint="eastAsia" w:ascii="宋体" w:hAnsi="宋体" w:eastAsia="宋体" w:cs="宋体"/>
          <w:color w:val="auto"/>
          <w:sz w:val="24"/>
          <w:szCs w:val="24"/>
          <w:highlight w:val="none"/>
          <w:shd w:val="clear" w:color="auto" w:fill="auto"/>
        </w:rPr>
      </w:pPr>
      <w:bookmarkStart w:id="101" w:name="_Toc513029231"/>
      <w:bookmarkStart w:id="102" w:name="_Toc16938547"/>
      <w:bookmarkStart w:id="103" w:name="_Toc20823303"/>
      <w:r>
        <w:rPr>
          <w:rFonts w:hint="eastAsia" w:ascii="宋体" w:hAnsi="宋体" w:eastAsia="宋体" w:cs="宋体"/>
          <w:color w:val="auto"/>
          <w:sz w:val="24"/>
          <w:szCs w:val="24"/>
          <w:highlight w:val="none"/>
          <w:shd w:val="clear" w:color="auto" w:fill="auto"/>
        </w:rPr>
        <w:t>23、磋商小组</w:t>
      </w:r>
      <w:bookmarkEnd w:id="101"/>
      <w:bookmarkEnd w:id="102"/>
      <w:bookmarkEnd w:id="103"/>
    </w:p>
    <w:p w14:paraId="797B7D36">
      <w:pPr>
        <w:pStyle w:val="32"/>
        <w:pageBreakBefore w:val="0"/>
        <w:widowControl w:val="0"/>
        <w:spacing w:beforeAutospacing="0" w:afterAutospacing="0" w:line="460" w:lineRule="exact"/>
        <w:ind w:left="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23.1</w:t>
      </w:r>
      <w:r>
        <w:rPr>
          <w:rFonts w:hint="eastAsia" w:ascii="宋体" w:hAnsi="宋体" w:eastAsia="宋体" w:cs="宋体"/>
          <w:color w:val="auto"/>
          <w:sz w:val="24"/>
          <w:szCs w:val="24"/>
          <w:highlight w:val="none"/>
          <w:lang w:val="en-US" w:eastAsia="zh-CN"/>
        </w:rPr>
        <w:t>采购中心</w:t>
      </w:r>
      <w:r>
        <w:rPr>
          <w:rFonts w:hint="eastAsia" w:ascii="宋体" w:hAnsi="宋体" w:eastAsia="宋体" w:cs="宋体"/>
          <w:color w:val="auto"/>
          <w:sz w:val="24"/>
          <w:szCs w:val="24"/>
          <w:highlight w:val="none"/>
          <w:shd w:val="clear" w:color="auto" w:fill="auto"/>
        </w:rPr>
        <w:t>将组织磋商小组对响应文件进行评审。磋商小组由采购人代表和有关技术、经济等方面的专家组成，且人员构成符合政府采购有关规定。</w:t>
      </w:r>
    </w:p>
    <w:p w14:paraId="4E9519A1">
      <w:pPr>
        <w:pStyle w:val="32"/>
        <w:pageBreakBefore w:val="0"/>
        <w:widowControl w:val="0"/>
        <w:spacing w:beforeAutospacing="0" w:afterAutospacing="0" w:line="460" w:lineRule="exact"/>
        <w:ind w:left="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 xml:space="preserve"> 23.2磋商小组独立工作，负责评审所有响应文件并确定成交</w:t>
      </w:r>
      <w:r>
        <w:rPr>
          <w:rFonts w:hint="eastAsia" w:ascii="宋体" w:hAnsi="宋体" w:eastAsia="宋体" w:cs="宋体"/>
          <w:color w:val="auto"/>
          <w:sz w:val="24"/>
          <w:szCs w:val="24"/>
          <w:highlight w:val="none"/>
          <w:shd w:val="clear" w:color="auto" w:fill="auto"/>
          <w:lang w:eastAsia="zh-CN"/>
        </w:rPr>
        <w:t>候选人</w:t>
      </w:r>
      <w:r>
        <w:rPr>
          <w:rFonts w:hint="eastAsia" w:ascii="宋体" w:hAnsi="宋体" w:eastAsia="宋体" w:cs="宋体"/>
          <w:color w:val="auto"/>
          <w:sz w:val="24"/>
          <w:szCs w:val="24"/>
          <w:highlight w:val="none"/>
          <w:shd w:val="clear" w:color="auto" w:fill="auto"/>
        </w:rPr>
        <w:t>。</w:t>
      </w:r>
    </w:p>
    <w:p w14:paraId="44D84264">
      <w:pPr>
        <w:pStyle w:val="32"/>
        <w:keepNext/>
        <w:keepLines/>
        <w:pageBreakBefore w:val="0"/>
        <w:widowControl w:val="0"/>
        <w:spacing w:beforeAutospacing="0" w:afterAutospacing="0" w:line="460" w:lineRule="exact"/>
        <w:ind w:left="0"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24、评审过程的保密与公正</w:t>
      </w:r>
    </w:p>
    <w:p w14:paraId="0825EB51">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24.1磋商小组、采购人和</w:t>
      </w:r>
      <w:r>
        <w:rPr>
          <w:rFonts w:hint="eastAsia" w:ascii="宋体" w:hAnsi="宋体" w:eastAsia="宋体" w:cs="宋体"/>
          <w:color w:val="auto"/>
          <w:sz w:val="24"/>
          <w:szCs w:val="24"/>
          <w:highlight w:val="none"/>
          <w:lang w:val="en-US" w:eastAsia="zh-CN"/>
        </w:rPr>
        <w:t>采购中心</w:t>
      </w:r>
      <w:r>
        <w:rPr>
          <w:rFonts w:hint="eastAsia" w:ascii="宋体" w:hAnsi="宋体" w:eastAsia="宋体" w:cs="宋体"/>
          <w:color w:val="auto"/>
          <w:sz w:val="24"/>
          <w:szCs w:val="24"/>
          <w:highlight w:val="none"/>
          <w:shd w:val="clear" w:color="auto" w:fill="auto"/>
        </w:rPr>
        <w:t>工作人员、相关监督人员等与评审工作有关的人员，对评审情况以及在评审过程中获悉的国家秘密、商业秘密负有保密责任。</w:t>
      </w:r>
    </w:p>
    <w:p w14:paraId="42212B0A">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24.2在评审过程中，供应商不得以任何行为影响磋商评审过程，否则其响应文件将被</w:t>
      </w:r>
      <w:r>
        <w:rPr>
          <w:rFonts w:hint="eastAsia" w:ascii="宋体" w:hAnsi="宋体" w:eastAsia="宋体" w:cs="宋体"/>
          <w:color w:val="auto"/>
          <w:sz w:val="24"/>
          <w:szCs w:val="24"/>
          <w:highlight w:val="none"/>
          <w:shd w:val="clear" w:color="auto" w:fill="auto"/>
          <w:lang w:eastAsia="zh-CN"/>
        </w:rPr>
        <w:t>视为</w:t>
      </w:r>
      <w:r>
        <w:rPr>
          <w:rFonts w:hint="eastAsia" w:ascii="宋体" w:hAnsi="宋体" w:eastAsia="宋体" w:cs="宋体"/>
          <w:color w:val="auto"/>
          <w:sz w:val="24"/>
          <w:szCs w:val="24"/>
          <w:highlight w:val="none"/>
          <w:shd w:val="clear" w:color="auto" w:fill="auto"/>
        </w:rPr>
        <w:t>无效响应文件。</w:t>
      </w:r>
    </w:p>
    <w:p w14:paraId="1C326163">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24.3在项目评审期间，</w:t>
      </w:r>
      <w:r>
        <w:rPr>
          <w:rFonts w:hint="eastAsia" w:ascii="宋体" w:hAnsi="宋体" w:eastAsia="宋体" w:cs="宋体"/>
          <w:color w:val="auto"/>
          <w:sz w:val="24"/>
          <w:szCs w:val="24"/>
          <w:highlight w:val="none"/>
          <w:lang w:val="en-US" w:eastAsia="zh-CN"/>
        </w:rPr>
        <w:t>采购中心</w:t>
      </w:r>
      <w:r>
        <w:rPr>
          <w:rFonts w:hint="eastAsia" w:ascii="宋体" w:hAnsi="宋体" w:eastAsia="宋体" w:cs="宋体"/>
          <w:color w:val="auto"/>
          <w:sz w:val="24"/>
          <w:szCs w:val="24"/>
          <w:highlight w:val="none"/>
          <w:shd w:val="clear" w:color="auto" w:fill="auto"/>
        </w:rPr>
        <w:t>将设专门人员与供应商联系。</w:t>
      </w:r>
    </w:p>
    <w:p w14:paraId="261D3449">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24.4 </w:t>
      </w:r>
      <w:r>
        <w:rPr>
          <w:rFonts w:hint="eastAsia" w:ascii="宋体" w:hAnsi="宋体" w:eastAsia="宋体" w:cs="宋体"/>
          <w:color w:val="auto"/>
          <w:sz w:val="24"/>
          <w:szCs w:val="24"/>
          <w:highlight w:val="none"/>
          <w:lang w:val="en-US" w:eastAsia="zh-CN"/>
        </w:rPr>
        <w:t>采购中心</w:t>
      </w:r>
      <w:r>
        <w:rPr>
          <w:rFonts w:hint="eastAsia" w:ascii="宋体" w:hAnsi="宋体" w:eastAsia="宋体" w:cs="宋体"/>
          <w:color w:val="auto"/>
          <w:sz w:val="24"/>
          <w:szCs w:val="24"/>
          <w:highlight w:val="none"/>
          <w:shd w:val="clear" w:color="auto" w:fill="auto"/>
        </w:rPr>
        <w:t>和磋商小组不向未成交的供应商解释未成交原因，也不公布评审过程中的相关细节。</w:t>
      </w:r>
    </w:p>
    <w:p w14:paraId="06E942C7">
      <w:pPr>
        <w:pStyle w:val="32"/>
        <w:keepNext/>
        <w:keepLines/>
        <w:pageBreakBefore w:val="0"/>
        <w:widowControl w:val="0"/>
        <w:spacing w:beforeAutospacing="0" w:afterAutospacing="0" w:line="460" w:lineRule="exact"/>
        <w:ind w:left="0" w:firstLine="420"/>
        <w:jc w:val="both"/>
        <w:rPr>
          <w:rFonts w:hint="eastAsia" w:ascii="宋体" w:hAnsi="宋体" w:eastAsia="宋体" w:cs="宋体"/>
          <w:color w:val="auto"/>
          <w:sz w:val="24"/>
          <w:szCs w:val="24"/>
          <w:highlight w:val="none"/>
          <w:shd w:val="clear" w:color="auto" w:fill="auto"/>
        </w:rPr>
      </w:pPr>
      <w:bookmarkStart w:id="104" w:name="_Toc513029232"/>
      <w:bookmarkStart w:id="105" w:name="_Toc16938548"/>
      <w:bookmarkStart w:id="106" w:name="_Toc20823304"/>
      <w:r>
        <w:rPr>
          <w:rFonts w:hint="eastAsia" w:ascii="宋体" w:hAnsi="宋体" w:eastAsia="宋体" w:cs="宋体"/>
          <w:color w:val="auto"/>
          <w:sz w:val="24"/>
          <w:szCs w:val="24"/>
          <w:highlight w:val="none"/>
          <w:shd w:val="clear" w:color="auto" w:fill="auto"/>
        </w:rPr>
        <w:t>25、评审过程中</w:t>
      </w:r>
      <w:r>
        <w:rPr>
          <w:rFonts w:hint="eastAsia" w:ascii="宋体" w:hAnsi="宋体" w:eastAsia="宋体" w:cs="宋体"/>
          <w:color w:val="auto"/>
          <w:sz w:val="24"/>
          <w:szCs w:val="24"/>
          <w:highlight w:val="none"/>
          <w:shd w:val="clear" w:color="auto" w:fill="auto"/>
          <w:lang w:eastAsia="zh-CN"/>
        </w:rPr>
        <w:t>的</w:t>
      </w:r>
      <w:r>
        <w:rPr>
          <w:rFonts w:hint="eastAsia" w:ascii="宋体" w:hAnsi="宋体" w:eastAsia="宋体" w:cs="宋体"/>
          <w:color w:val="auto"/>
          <w:sz w:val="24"/>
          <w:szCs w:val="24"/>
          <w:highlight w:val="none"/>
          <w:shd w:val="clear" w:color="auto" w:fill="auto"/>
        </w:rPr>
        <w:t>澄清</w:t>
      </w:r>
      <w:bookmarkEnd w:id="104"/>
      <w:bookmarkEnd w:id="105"/>
      <w:bookmarkEnd w:id="106"/>
    </w:p>
    <w:p w14:paraId="6B10105C">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D6338AC">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磋商小组并非对每个供应商都作澄清要求。</w:t>
      </w:r>
    </w:p>
    <w:p w14:paraId="55A36FCE">
      <w:pPr>
        <w:pStyle w:val="32"/>
        <w:pageBreakBefore w:val="0"/>
        <w:widowControl w:val="0"/>
        <w:spacing w:beforeAutospacing="0" w:afterAutospacing="0" w:line="460" w:lineRule="exact"/>
        <w:ind w:left="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42DF5D70">
      <w:pPr>
        <w:pStyle w:val="32"/>
        <w:pageBreakBefore w:val="0"/>
        <w:widowControl w:val="0"/>
        <w:spacing w:beforeAutospacing="0" w:afterAutospacing="0" w:line="460" w:lineRule="exact"/>
        <w:ind w:left="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25.3 接到磋商小组澄清、说明和更正要求的供应商如未按规定做出澄清、说明和 更正，其风险由供应商自行承担。</w:t>
      </w:r>
    </w:p>
    <w:p w14:paraId="02DD4A7B">
      <w:pPr>
        <w:pStyle w:val="32"/>
        <w:keepNext/>
        <w:keepLines/>
        <w:pageBreakBefore w:val="0"/>
        <w:widowControl w:val="0"/>
        <w:spacing w:beforeAutospacing="0" w:afterAutospacing="0" w:line="460" w:lineRule="exact"/>
        <w:ind w:left="0" w:firstLine="420"/>
        <w:jc w:val="both"/>
        <w:rPr>
          <w:rFonts w:hint="eastAsia" w:ascii="宋体" w:hAnsi="宋体" w:eastAsia="宋体" w:cs="宋体"/>
          <w:color w:val="auto"/>
          <w:sz w:val="24"/>
          <w:szCs w:val="24"/>
          <w:highlight w:val="none"/>
          <w:shd w:val="clear" w:color="auto" w:fill="auto"/>
        </w:rPr>
      </w:pPr>
      <w:bookmarkStart w:id="107" w:name="_Toc16938549"/>
      <w:bookmarkStart w:id="108" w:name="_Toc20823305"/>
      <w:bookmarkStart w:id="109" w:name="_Toc513029233"/>
      <w:r>
        <w:rPr>
          <w:rFonts w:hint="eastAsia" w:ascii="宋体" w:hAnsi="宋体" w:eastAsia="宋体" w:cs="宋体"/>
          <w:color w:val="auto"/>
          <w:sz w:val="24"/>
          <w:szCs w:val="24"/>
          <w:highlight w:val="none"/>
          <w:shd w:val="clear" w:color="auto" w:fill="auto"/>
        </w:rPr>
        <w:t>26、对响应文件的审</w:t>
      </w:r>
      <w:bookmarkEnd w:id="107"/>
      <w:bookmarkEnd w:id="108"/>
      <w:bookmarkEnd w:id="109"/>
      <w:r>
        <w:rPr>
          <w:rFonts w:hint="eastAsia" w:ascii="宋体" w:hAnsi="宋体" w:eastAsia="宋体" w:cs="宋体"/>
          <w:color w:val="auto"/>
          <w:sz w:val="24"/>
          <w:szCs w:val="24"/>
          <w:highlight w:val="none"/>
          <w:shd w:val="clear" w:color="auto" w:fill="auto"/>
        </w:rPr>
        <w:t>查</w:t>
      </w:r>
    </w:p>
    <w:p w14:paraId="41098F75">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26.1响应文件审查分为资格审查和符合性审查。</w:t>
      </w:r>
    </w:p>
    <w:p w14:paraId="5B1B31C3">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26.1.1 资格审查：由磋商小组依据法律法规和磋商文件的规定，对响应文件中的资格证明文件进行审查，以确定供应商是否具备参加磋商的资格。</w:t>
      </w:r>
    </w:p>
    <w:p w14:paraId="6B7A95C4">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磋商小组在进行资格审查的同时，将在“信用中国”网站（www.creditchina.gov.cn）查询供应商的信用记录，以确定供应商是否具备磋商资格,查询结果留存并归档。</w:t>
      </w:r>
    </w:p>
    <w:p w14:paraId="2DE5F1BE">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接受联合体的项目，两个以上的自然人、法人或者其他组织组成一个联合体，以一个供应商的身份共同参加政府采购活动的,联合体成员中任何一方存在不良信用记录的，视同联合体存在不良应用记录。</w:t>
      </w:r>
    </w:p>
    <w:p w14:paraId="712617DF">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26.1.2 符合性审查：依据磋商文件的规定，由磋商小组从响应文件的有效性、完整性和对磋商文件的响应程度进行审查，以确定是否对磋商文件的实质性要求作出响应。</w:t>
      </w:r>
    </w:p>
    <w:p w14:paraId="40601441">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26.1.3 未通过资格审查或符合性审查的供应商，磋商小组将在苏采云系统中告知未通过资格审查或符合性审查的原因，评审结束后，磋商小组将不再告知未通过资格审查或符合性审查的原因。</w:t>
      </w:r>
    </w:p>
    <w:p w14:paraId="1438EC6E">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26.2在详细评审之前，磋商小组将首先审查每份响应文件是否实质性响应了磋商文件的要求。实质性响应的响应文件应该是与磋商文件要求的条款、条件和规格相符，没有重大偏离或保留。</w:t>
      </w:r>
    </w:p>
    <w:p w14:paraId="1EB432F9">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shd w:val="clear" w:color="auto" w:fill="auto"/>
          <w:lang w:eastAsia="zh-CN"/>
        </w:rPr>
        <w:t>行政服务中心</w:t>
      </w:r>
      <w:r>
        <w:rPr>
          <w:rFonts w:hint="eastAsia" w:ascii="宋体" w:hAnsi="宋体" w:eastAsia="宋体" w:cs="宋体"/>
          <w:color w:val="auto"/>
          <w:sz w:val="24"/>
          <w:szCs w:val="24"/>
          <w:highlight w:val="none"/>
          <w:shd w:val="clear" w:color="auto" w:fill="auto"/>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5A7DBA0C">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26.3未实质性响应磋商文件的情形</w:t>
      </w:r>
    </w:p>
    <w:p w14:paraId="66CDE83D">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26.3.1供应商在苏采云系统规定的时间内未成功解密电子响应文件的。</w:t>
      </w:r>
    </w:p>
    <w:p w14:paraId="0669F52E">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26.3.2供应商未按照磋商文件要求上传电子响应文件的。</w:t>
      </w:r>
    </w:p>
    <w:p w14:paraId="32C43790">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26.3.3同一供应商提交两个（含两个）以上不同的响应文件或者最后报价的。</w:t>
      </w:r>
    </w:p>
    <w:p w14:paraId="5438F163">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26.3.4供应商不具备磋商文件中规定资格要求的。</w:t>
      </w:r>
    </w:p>
    <w:p w14:paraId="54B172BA">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26.3.5供应商的最后报价超过了采购预算。</w:t>
      </w:r>
    </w:p>
    <w:p w14:paraId="37A3C017">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26.3.6不符合磋商文件中规定的实质性要求和条件的</w:t>
      </w:r>
      <w:r>
        <w:rPr>
          <w:rFonts w:hint="eastAsia" w:ascii="宋体" w:hAnsi="宋体" w:eastAsia="宋体" w:cs="宋体"/>
          <w:i/>
          <w:color w:val="auto"/>
          <w:sz w:val="24"/>
          <w:szCs w:val="24"/>
          <w:highlight w:val="none"/>
          <w:u w:val="single"/>
          <w:shd w:val="clear" w:color="auto" w:fill="auto"/>
        </w:rPr>
        <w:t>（本磋商文件中斜体且有下划线部分为实质性要求和条件）。</w:t>
      </w:r>
    </w:p>
    <w:p w14:paraId="12DD8979">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15F7CF5">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26.3.8</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响应文件含有采购人不能接受的附加条件的。</w:t>
      </w:r>
    </w:p>
    <w:p w14:paraId="6C3781CD">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26.3.9 本项目采购产品被财政部、</w:t>
      </w:r>
      <w:r>
        <w:rPr>
          <w:rFonts w:hint="eastAsia" w:ascii="宋体" w:hAnsi="宋体" w:eastAsia="宋体" w:cs="宋体"/>
          <w:color w:val="auto"/>
          <w:sz w:val="24"/>
          <w:szCs w:val="24"/>
          <w:highlight w:val="none"/>
          <w:shd w:val="clear" w:color="auto" w:fill="auto"/>
          <w:lang w:eastAsia="zh-CN"/>
        </w:rPr>
        <w:t>国家发展改革委</w:t>
      </w:r>
      <w:r>
        <w:rPr>
          <w:rFonts w:hint="eastAsia" w:ascii="宋体" w:hAnsi="宋体" w:eastAsia="宋体" w:cs="宋体"/>
          <w:color w:val="auto"/>
          <w:sz w:val="24"/>
          <w:szCs w:val="24"/>
          <w:highlight w:val="none"/>
          <w:shd w:val="clear" w:color="auto" w:fill="auto"/>
        </w:rPr>
        <w:t>、生态环境部等列入“节能产品品目清单</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43A0A22A">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t>26.3.1</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不能证明其报价合理性的，</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rPr>
        <w:t>应当将其作为无效</w:t>
      </w:r>
      <w:r>
        <w:rPr>
          <w:rFonts w:hint="eastAsia" w:ascii="宋体" w:hAnsi="宋体" w:eastAsia="宋体" w:cs="宋体"/>
          <w:color w:val="000000"/>
          <w:sz w:val="24"/>
          <w:szCs w:val="24"/>
          <w:highlight w:val="none"/>
          <w:lang w:val="en-US" w:eastAsia="zh-CN" w:bidi="ar-SA"/>
        </w:rPr>
        <w:t>响应</w:t>
      </w:r>
      <w:r>
        <w:rPr>
          <w:rFonts w:hint="eastAsia" w:ascii="宋体" w:hAnsi="宋体" w:eastAsia="宋体" w:cs="宋体"/>
          <w:color w:val="auto"/>
          <w:sz w:val="24"/>
          <w:szCs w:val="24"/>
          <w:highlight w:val="none"/>
        </w:rPr>
        <w:t>处理。</w:t>
      </w:r>
    </w:p>
    <w:p w14:paraId="7031C85D">
      <w:pPr>
        <w:pStyle w:val="32"/>
        <w:pageBreakBefore w:val="0"/>
        <w:widowControl w:val="0"/>
        <w:spacing w:beforeAutospacing="0" w:afterAutospacing="0" w:line="460" w:lineRule="exac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（一）评审过程中出现下列情形之一的，磋商小组应当启动异常低价响应审查程序：</w:t>
      </w:r>
    </w:p>
    <w:p w14:paraId="0969A0A4">
      <w:pPr>
        <w:pStyle w:val="32"/>
        <w:pageBreakBefore w:val="0"/>
        <w:widowControl w:val="0"/>
        <w:spacing w:beforeAutospacing="0" w:afterAutospacing="0" w:line="460" w:lineRule="exac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5275A652">
      <w:pPr>
        <w:pStyle w:val="32"/>
        <w:pageBreakBefore w:val="0"/>
        <w:widowControl w:val="0"/>
        <w:spacing w:beforeAutospacing="0" w:afterAutospacing="0" w:line="460" w:lineRule="exac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1D334276">
      <w:pPr>
        <w:pStyle w:val="32"/>
        <w:pageBreakBefore w:val="0"/>
        <w:widowControl w:val="0"/>
        <w:spacing w:beforeAutospacing="0" w:afterAutospacing="0" w:line="460" w:lineRule="exac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3.投标（响应）报价低于采购项目最高限价45%的，即投标（响应）报价&lt;采购项目最高限价×45%；</w:t>
      </w:r>
    </w:p>
    <w:p w14:paraId="548AAB8F">
      <w:pPr>
        <w:pStyle w:val="32"/>
        <w:pageBreakBefore w:val="0"/>
        <w:widowControl w:val="0"/>
        <w:spacing w:beforeAutospacing="0" w:afterAutospacing="0" w:line="460" w:lineRule="exac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4.评审委员会基于专业判断，认为供应商报价过低，有可能影响产品质量或者不能诚信履约的其他情形。</w:t>
      </w:r>
    </w:p>
    <w:p w14:paraId="0D1F34F2">
      <w:pPr>
        <w:pStyle w:val="32"/>
        <w:pageBreakBefore w:val="0"/>
        <w:widowControl w:val="0"/>
        <w:spacing w:beforeAutospacing="0" w:afterAutospacing="0" w:line="460" w:lineRule="exac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相关法律法规对供应商报价有规定的，从其规定。</w:t>
      </w:r>
    </w:p>
    <w:p w14:paraId="33C9E41F">
      <w:pPr>
        <w:pStyle w:val="32"/>
        <w:pageBreakBefore w:val="0"/>
        <w:widowControl w:val="0"/>
        <w:spacing w:beforeAutospacing="0" w:afterAutospacing="0" w:line="460" w:lineRule="exac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0A1321F">
      <w:pPr>
        <w:pStyle w:val="32"/>
        <w:pageBreakBefore w:val="0"/>
        <w:widowControl w:val="0"/>
        <w:spacing w:beforeAutospacing="0" w:afterAutospacing="0" w:line="460" w:lineRule="exac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2079B10">
      <w:pPr>
        <w:pStyle w:val="32"/>
        <w:pageBreakBefore w:val="0"/>
        <w:widowControl w:val="0"/>
        <w:spacing w:beforeAutospacing="0" w:afterAutospacing="0" w:line="460" w:lineRule="exac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937F43F">
      <w:pPr>
        <w:pStyle w:val="32"/>
        <w:pageBreakBefore w:val="0"/>
        <w:widowControl w:val="0"/>
        <w:spacing w:beforeAutospacing="0" w:afterAutospacing="0" w:line="460" w:lineRule="exac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440167B8">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26.3.11</w:t>
      </w:r>
      <w:r>
        <w:rPr>
          <w:rFonts w:hint="eastAsia" w:ascii="宋体" w:hAnsi="宋体" w:eastAsia="宋体" w:cs="宋体"/>
          <w:color w:val="auto"/>
          <w:sz w:val="24"/>
          <w:szCs w:val="24"/>
          <w:highlight w:val="none"/>
          <w:shd w:val="clear" w:color="auto" w:fill="auto"/>
        </w:rPr>
        <w:t>响应文件未按照磋商文件要求加盖CA电子公章的。</w:t>
      </w:r>
    </w:p>
    <w:p w14:paraId="5897BD4E">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26.4未实质性响应磋商文件的响应文件按无效响应处理。</w:t>
      </w:r>
    </w:p>
    <w:p w14:paraId="12EACCB2">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26.5如果响应文件实质上没有响应磋商文件的要求，磋商小组将予以拒绝，供应商不得通过修改或撤销不合要求的偏离或保留而使其成为实质性响应的文件。</w:t>
      </w:r>
    </w:p>
    <w:p w14:paraId="72A18373">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bookmarkStart w:id="110" w:name="_Toc16938550"/>
      <w:bookmarkStart w:id="111" w:name="_Toc513029234"/>
      <w:bookmarkStart w:id="112" w:name="_Toc20823306"/>
      <w:r>
        <w:rPr>
          <w:rFonts w:hint="eastAsia" w:ascii="宋体" w:hAnsi="宋体" w:eastAsia="宋体" w:cs="宋体"/>
          <w:color w:val="auto"/>
          <w:sz w:val="24"/>
          <w:szCs w:val="24"/>
          <w:highlight w:val="none"/>
          <w:shd w:val="clear" w:color="auto" w:fill="auto"/>
        </w:rPr>
        <w:t>26.6供应商在项目评审全过程中应</w:t>
      </w:r>
      <w:r>
        <w:rPr>
          <w:rFonts w:hint="eastAsia" w:ascii="宋体" w:hAnsi="宋体" w:eastAsia="宋体" w:cs="宋体"/>
          <w:color w:val="auto"/>
          <w:sz w:val="24"/>
          <w:szCs w:val="24"/>
          <w:highlight w:val="none"/>
          <w:shd w:val="clear" w:color="auto" w:fill="auto"/>
          <w:lang w:eastAsia="zh-CN"/>
        </w:rPr>
        <w:t>保持通信畅通</w:t>
      </w:r>
      <w:r>
        <w:rPr>
          <w:rFonts w:hint="eastAsia" w:ascii="宋体" w:hAnsi="宋体" w:eastAsia="宋体" w:cs="宋体"/>
          <w:color w:val="auto"/>
          <w:sz w:val="24"/>
          <w:szCs w:val="24"/>
          <w:highlight w:val="none"/>
          <w:shd w:val="clear" w:color="auto" w:fill="auto"/>
        </w:rPr>
        <w:t>，并安排专人与</w:t>
      </w:r>
      <w:r>
        <w:rPr>
          <w:rFonts w:hint="eastAsia" w:ascii="宋体" w:hAnsi="宋体" w:eastAsia="宋体" w:cs="宋体"/>
          <w:color w:val="auto"/>
          <w:sz w:val="24"/>
          <w:szCs w:val="24"/>
          <w:highlight w:val="none"/>
          <w:shd w:val="clear" w:color="auto" w:fill="auto"/>
          <w:lang w:eastAsia="zh-CN"/>
        </w:rPr>
        <w:t>行政服务中心</w:t>
      </w:r>
      <w:r>
        <w:rPr>
          <w:rFonts w:hint="eastAsia" w:ascii="宋体" w:hAnsi="宋体" w:eastAsia="宋体" w:cs="宋体"/>
          <w:color w:val="auto"/>
          <w:sz w:val="24"/>
          <w:szCs w:val="24"/>
          <w:highlight w:val="none"/>
          <w:shd w:val="clear" w:color="auto" w:fill="auto"/>
        </w:rPr>
        <w:t>及磋商小组联系。</w:t>
      </w:r>
      <w:bookmarkEnd w:id="110"/>
      <w:bookmarkEnd w:id="111"/>
      <w:bookmarkEnd w:id="112"/>
    </w:p>
    <w:p w14:paraId="6D5F5A10">
      <w:pPr>
        <w:pStyle w:val="32"/>
        <w:keepNext/>
        <w:keepLines/>
        <w:pageBreakBefore w:val="0"/>
        <w:widowControl w:val="0"/>
        <w:spacing w:beforeAutospacing="0" w:afterAutospacing="0" w:line="460" w:lineRule="exact"/>
        <w:ind w:left="0"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27、磋商程序及评审方法和评审标准</w:t>
      </w:r>
    </w:p>
    <w:p w14:paraId="01B2EF4B">
      <w:pPr>
        <w:pStyle w:val="32"/>
        <w:pageBreakBefore w:val="0"/>
        <w:widowControl w:val="0"/>
        <w:tabs>
          <w:tab w:val="left" w:pos="901"/>
        </w:tabs>
        <w:spacing w:beforeAutospacing="0" w:afterAutospacing="0" w:line="460" w:lineRule="exact"/>
        <w:ind w:left="0" w:firstLine="47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27.1磋商程序</w:t>
      </w:r>
    </w:p>
    <w:p w14:paraId="6895AE34">
      <w:pPr>
        <w:pStyle w:val="32"/>
        <w:pageBreakBefore w:val="0"/>
        <w:widowControl w:val="0"/>
        <w:tabs>
          <w:tab w:val="left" w:pos="901"/>
        </w:tabs>
        <w:spacing w:beforeAutospacing="0" w:afterAutospacing="0" w:line="460" w:lineRule="exact"/>
        <w:ind w:left="0" w:firstLine="47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7FE411CC">
      <w:pPr>
        <w:pStyle w:val="32"/>
        <w:pageBreakBefore w:val="0"/>
        <w:widowControl w:val="0"/>
        <w:tabs>
          <w:tab w:val="left" w:pos="901"/>
        </w:tabs>
        <w:spacing w:beforeAutospacing="0" w:afterAutospacing="0" w:line="460" w:lineRule="exact"/>
        <w:ind w:left="0" w:firstLine="47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6757E28">
      <w:pPr>
        <w:pStyle w:val="32"/>
        <w:pageBreakBefore w:val="0"/>
        <w:widowControl w:val="0"/>
        <w:tabs>
          <w:tab w:val="left" w:pos="901"/>
        </w:tabs>
        <w:spacing w:beforeAutospacing="0" w:afterAutospacing="0" w:line="460" w:lineRule="exact"/>
        <w:ind w:left="0" w:firstLine="47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6438E08B">
      <w:pPr>
        <w:pStyle w:val="32"/>
        <w:pageBreakBefore w:val="0"/>
        <w:widowControl w:val="0"/>
        <w:tabs>
          <w:tab w:val="left" w:pos="901"/>
        </w:tabs>
        <w:spacing w:beforeAutospacing="0" w:afterAutospacing="0" w:line="460" w:lineRule="exact"/>
        <w:ind w:left="0" w:firstLine="47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63EE9E65">
      <w:pPr>
        <w:pStyle w:val="32"/>
        <w:pageBreakBefore w:val="0"/>
        <w:widowControl w:val="0"/>
        <w:tabs>
          <w:tab w:val="left" w:pos="901"/>
        </w:tabs>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最后报价是供应商响应文件的有效组成部分。符合《政府采购竞争性磋商采购方式理暂行办法》第三条第一款第四项及《财政部关于竞争性磋商采购方式管理暂行办法有关问题的补充通知》（财库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shd w:val="clear" w:color="auto" w:fill="auto"/>
          <w:lang w:eastAsia="zh-CN"/>
        </w:rPr>
        <w:t>〔2015〕124号</w:t>
      </w:r>
      <w:r>
        <w:rPr>
          <w:rFonts w:hint="eastAsia" w:ascii="宋体" w:hAnsi="宋体" w:eastAsia="宋体" w:cs="宋体"/>
          <w:color w:val="auto"/>
          <w:sz w:val="24"/>
          <w:szCs w:val="24"/>
          <w:highlight w:val="none"/>
          <w:shd w:val="clear" w:color="auto" w:fill="auto"/>
        </w:rPr>
        <w:t>）规定情形的，提交最后报价的供应商可以为2家。</w:t>
      </w:r>
    </w:p>
    <w:p w14:paraId="2395EDF2">
      <w:pPr>
        <w:pStyle w:val="32"/>
        <w:pageBreakBefore w:val="0"/>
        <w:widowControl w:val="0"/>
        <w:tabs>
          <w:tab w:val="left" w:pos="901"/>
        </w:tabs>
        <w:spacing w:beforeAutospacing="0" w:afterAutospacing="0" w:line="460" w:lineRule="exact"/>
        <w:ind w:left="0" w:firstLine="47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411E9DD5">
      <w:pPr>
        <w:pStyle w:val="32"/>
        <w:pageBreakBefore w:val="0"/>
        <w:widowControl w:val="0"/>
        <w:tabs>
          <w:tab w:val="left" w:pos="901"/>
        </w:tabs>
        <w:spacing w:beforeAutospacing="0" w:afterAutospacing="0" w:line="460" w:lineRule="exact"/>
        <w:ind w:left="0" w:firstLine="47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 评审方法和评审标准</w:t>
      </w:r>
    </w:p>
    <w:p w14:paraId="3E82CDB4">
      <w:pPr>
        <w:pStyle w:val="32"/>
        <w:pageBreakBefore w:val="0"/>
        <w:widowControl w:val="0"/>
        <w:tabs>
          <w:tab w:val="left" w:pos="901"/>
        </w:tabs>
        <w:spacing w:beforeAutospacing="0" w:afterAutospacing="0" w:line="460" w:lineRule="exact"/>
        <w:ind w:left="0" w:firstLine="47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27.2.1评审方法。经磋商确定最终采购需求和提交最后报价的供应商后，由磋商小组采用综合评分法对提交最后报价的供应商的响应文件和最后报价进行综合评分。</w:t>
      </w:r>
    </w:p>
    <w:p w14:paraId="10B5933E">
      <w:pPr>
        <w:pStyle w:val="32"/>
        <w:pageBreakBefore w:val="0"/>
        <w:widowControl w:val="0"/>
        <w:tabs>
          <w:tab w:val="left" w:pos="901"/>
        </w:tabs>
        <w:spacing w:beforeAutospacing="0" w:afterAutospacing="0" w:line="460" w:lineRule="exact"/>
        <w:ind w:left="0" w:firstLine="47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DEA87E0">
      <w:pPr>
        <w:pStyle w:val="32"/>
        <w:pageBreakBefore w:val="0"/>
        <w:widowControl w:val="0"/>
        <w:tabs>
          <w:tab w:val="left" w:pos="901"/>
        </w:tabs>
        <w:spacing w:beforeAutospacing="0" w:afterAutospacing="0" w:line="460" w:lineRule="exact"/>
        <w:ind w:left="0" w:firstLine="47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27.2.2评审标准</w:t>
      </w:r>
    </w:p>
    <w:p w14:paraId="709061C0">
      <w:pPr>
        <w:pStyle w:val="32"/>
        <w:pageBreakBefore w:val="0"/>
        <w:widowControl w:val="0"/>
        <w:tabs>
          <w:tab w:val="left" w:pos="901"/>
        </w:tabs>
        <w:spacing w:beforeAutospacing="0" w:afterAutospacing="0" w:line="460" w:lineRule="exact"/>
        <w:ind w:left="0" w:firstLine="47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见本磋商文件第五章规定。</w:t>
      </w:r>
    </w:p>
    <w:p w14:paraId="6F759FB5">
      <w:pPr>
        <w:pStyle w:val="32"/>
        <w:pageBreakBefore w:val="0"/>
        <w:widowControl w:val="0"/>
        <w:tabs>
          <w:tab w:val="left" w:pos="901"/>
        </w:tabs>
        <w:spacing w:beforeAutospacing="0" w:afterAutospacing="0" w:line="460" w:lineRule="exact"/>
        <w:ind w:left="0" w:firstLine="47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27.3采购活动终止的情况</w:t>
      </w:r>
    </w:p>
    <w:p w14:paraId="4BE6DCE5">
      <w:pPr>
        <w:pStyle w:val="32"/>
        <w:pageBreakBefore w:val="0"/>
        <w:widowControl w:val="0"/>
        <w:tabs>
          <w:tab w:val="left" w:pos="901"/>
        </w:tabs>
        <w:spacing w:beforeAutospacing="0" w:afterAutospacing="0" w:line="460" w:lineRule="exact"/>
        <w:ind w:left="0" w:firstLine="3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出现下列情形之一的，本次竞争性磋商采购活动将被终止：</w:t>
      </w:r>
    </w:p>
    <w:p w14:paraId="51B93893">
      <w:pPr>
        <w:pStyle w:val="32"/>
        <w:pageBreakBefore w:val="0"/>
        <w:widowControl w:val="0"/>
        <w:tabs>
          <w:tab w:val="left" w:pos="901"/>
        </w:tabs>
        <w:spacing w:beforeAutospacing="0" w:afterAutospacing="0" w:line="460" w:lineRule="exact"/>
        <w:ind w:left="0" w:firstLine="3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27.3.1因情况变化，不再符合规定的竞争性磋商采购方式适用情形的。</w:t>
      </w:r>
    </w:p>
    <w:p w14:paraId="3802FF63">
      <w:pPr>
        <w:pStyle w:val="32"/>
        <w:pageBreakBefore w:val="0"/>
        <w:widowControl w:val="0"/>
        <w:tabs>
          <w:tab w:val="left" w:pos="901"/>
        </w:tabs>
        <w:spacing w:beforeAutospacing="0" w:afterAutospacing="0" w:line="460" w:lineRule="exact"/>
        <w:ind w:left="0" w:firstLine="3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27.3.2出现影响采购公正的违法、违规行为的。</w:t>
      </w:r>
    </w:p>
    <w:p w14:paraId="345CFF87">
      <w:pPr>
        <w:pStyle w:val="32"/>
        <w:pageBreakBefore w:val="0"/>
        <w:widowControl w:val="0"/>
        <w:tabs>
          <w:tab w:val="left" w:pos="901"/>
        </w:tabs>
        <w:spacing w:beforeAutospacing="0" w:afterAutospacing="0" w:line="460" w:lineRule="exact"/>
        <w:ind w:left="0" w:firstLine="3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27.3.3除本磋商文件第二章第27.1.2条第三款规定的情形外，在采购过程中符合要求的供应商或者最后报价未超过采购预算的供应商不足3家的。</w:t>
      </w:r>
    </w:p>
    <w:p w14:paraId="0689C7DB">
      <w:pPr>
        <w:pStyle w:val="32"/>
        <w:pageBreakBefore w:val="0"/>
        <w:widowControl w:val="0"/>
        <w:tabs>
          <w:tab w:val="left" w:pos="901"/>
        </w:tabs>
        <w:spacing w:beforeAutospacing="0" w:afterAutospacing="0" w:line="460" w:lineRule="exact"/>
        <w:ind w:left="0" w:firstLine="3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27.3.4在苏采云系统规定时间内成功解密电子响应文件的供应商不足3家的。</w:t>
      </w:r>
    </w:p>
    <w:p w14:paraId="6CCBBFEB">
      <w:pPr>
        <w:pStyle w:val="32"/>
        <w:keepNext/>
        <w:keepLines/>
        <w:pageBreakBefore w:val="0"/>
        <w:widowControl w:val="0"/>
        <w:spacing w:beforeAutospacing="0" w:afterAutospacing="0" w:line="460" w:lineRule="exact"/>
        <w:ind w:left="0" w:firstLine="482"/>
        <w:jc w:val="both"/>
        <w:rPr>
          <w:rFonts w:hint="eastAsia" w:ascii="宋体" w:hAnsi="宋体" w:eastAsia="宋体" w:cs="宋体"/>
          <w:color w:val="auto"/>
          <w:sz w:val="24"/>
          <w:szCs w:val="24"/>
          <w:highlight w:val="none"/>
          <w:shd w:val="clear" w:color="auto" w:fill="auto"/>
        </w:rPr>
      </w:pPr>
      <w:bookmarkStart w:id="113" w:name="_Toc16938551"/>
      <w:bookmarkStart w:id="114" w:name="_Toc513029235"/>
      <w:bookmarkStart w:id="115" w:name="_Toc120614219"/>
      <w:bookmarkStart w:id="116" w:name="_Toc20823307"/>
      <w:r>
        <w:rPr>
          <w:rFonts w:hint="eastAsia" w:ascii="宋体" w:hAnsi="宋体" w:eastAsia="宋体" w:cs="宋体"/>
          <w:b/>
          <w:color w:val="auto"/>
          <w:sz w:val="24"/>
          <w:szCs w:val="24"/>
          <w:highlight w:val="none"/>
          <w:shd w:val="clear" w:color="auto" w:fill="auto"/>
        </w:rPr>
        <w:t>六、</w:t>
      </w:r>
      <w:bookmarkEnd w:id="113"/>
      <w:bookmarkEnd w:id="114"/>
      <w:bookmarkEnd w:id="115"/>
      <w:bookmarkEnd w:id="116"/>
      <w:r>
        <w:rPr>
          <w:rFonts w:hint="eastAsia" w:ascii="宋体" w:hAnsi="宋体" w:eastAsia="宋体" w:cs="宋体"/>
          <w:b/>
          <w:color w:val="auto"/>
          <w:sz w:val="24"/>
          <w:szCs w:val="24"/>
          <w:highlight w:val="none"/>
          <w:shd w:val="clear" w:color="auto" w:fill="auto"/>
        </w:rPr>
        <w:t>成交</w:t>
      </w:r>
    </w:p>
    <w:p w14:paraId="22DD5A2F">
      <w:pPr>
        <w:pStyle w:val="32"/>
        <w:keepNext/>
        <w:keepLines/>
        <w:pageBreakBefore w:val="0"/>
        <w:widowControl w:val="0"/>
        <w:spacing w:beforeAutospacing="0" w:afterAutospacing="0" w:line="460" w:lineRule="exact"/>
        <w:ind w:left="0" w:firstLine="600"/>
        <w:jc w:val="both"/>
        <w:rPr>
          <w:rFonts w:hint="eastAsia" w:ascii="宋体" w:hAnsi="宋体" w:eastAsia="宋体" w:cs="宋体"/>
          <w:color w:val="auto"/>
          <w:sz w:val="24"/>
          <w:szCs w:val="24"/>
          <w:highlight w:val="none"/>
          <w:shd w:val="clear" w:color="auto" w:fill="auto"/>
        </w:rPr>
      </w:pPr>
      <w:bookmarkStart w:id="117" w:name="_Toc20823310"/>
      <w:bookmarkStart w:id="118" w:name="_Toc16938554"/>
      <w:bookmarkStart w:id="119" w:name="_Toc513029238"/>
      <w:r>
        <w:rPr>
          <w:rFonts w:hint="eastAsia" w:ascii="宋体" w:hAnsi="宋体" w:eastAsia="宋体" w:cs="宋体"/>
          <w:color w:val="auto"/>
          <w:sz w:val="24"/>
          <w:szCs w:val="24"/>
          <w:highlight w:val="none"/>
          <w:shd w:val="clear" w:color="auto" w:fill="auto"/>
        </w:rPr>
        <w:t>28、</w:t>
      </w:r>
      <w:bookmarkEnd w:id="117"/>
      <w:r>
        <w:rPr>
          <w:rFonts w:hint="eastAsia" w:ascii="宋体" w:hAnsi="宋体" w:eastAsia="宋体" w:cs="宋体"/>
          <w:color w:val="auto"/>
          <w:sz w:val="24"/>
          <w:szCs w:val="24"/>
          <w:highlight w:val="none"/>
          <w:shd w:val="clear" w:color="auto" w:fill="auto"/>
        </w:rPr>
        <w:t>确定</w:t>
      </w:r>
      <w:bookmarkEnd w:id="118"/>
      <w:bookmarkEnd w:id="119"/>
      <w:r>
        <w:rPr>
          <w:rFonts w:hint="eastAsia" w:ascii="宋体" w:hAnsi="宋体" w:eastAsia="宋体" w:cs="宋体"/>
          <w:color w:val="auto"/>
          <w:sz w:val="24"/>
          <w:szCs w:val="24"/>
          <w:highlight w:val="none"/>
          <w:shd w:val="clear" w:color="auto" w:fill="auto"/>
        </w:rPr>
        <w:t>成交单位</w:t>
      </w:r>
    </w:p>
    <w:p w14:paraId="52ADD773">
      <w:pPr>
        <w:pStyle w:val="32"/>
        <w:pageBreakBefore w:val="0"/>
        <w:widowControl w:val="0"/>
        <w:tabs>
          <w:tab w:val="left" w:pos="901"/>
        </w:tabs>
        <w:spacing w:beforeAutospacing="0" w:afterAutospacing="0" w:line="460" w:lineRule="exact"/>
        <w:ind w:left="0" w:firstLine="47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2AA7DBE6">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6F2A6C15">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val="en-US" w:eastAsia="zh-CN"/>
        </w:rPr>
        <w:t>采购中心</w:t>
      </w:r>
      <w:r>
        <w:rPr>
          <w:rFonts w:hint="eastAsia" w:ascii="宋体" w:hAnsi="宋体" w:eastAsia="宋体" w:cs="宋体"/>
          <w:color w:val="auto"/>
          <w:sz w:val="24"/>
          <w:szCs w:val="24"/>
          <w:highlight w:val="none"/>
          <w:shd w:val="clear" w:color="auto" w:fill="auto"/>
        </w:rPr>
        <w:t>将在“</w:t>
      </w:r>
      <w:r>
        <w:rPr>
          <w:rFonts w:hint="eastAsia" w:ascii="宋体" w:hAnsi="宋体" w:eastAsia="宋体" w:cs="宋体"/>
          <w:color w:val="auto"/>
          <w:sz w:val="24"/>
          <w:szCs w:val="24"/>
          <w:highlight w:val="none"/>
          <w:shd w:val="clear" w:color="auto" w:fill="auto"/>
          <w:lang w:val="en-US" w:eastAsia="zh-CN" w:bidi="ar-SA"/>
        </w:rPr>
        <w:t>中国政府采购网”“</w:t>
      </w:r>
      <w:r>
        <w:rPr>
          <w:rFonts w:hint="eastAsia" w:ascii="宋体" w:hAnsi="宋体" w:eastAsia="宋体" w:cs="宋体"/>
          <w:color w:val="auto"/>
          <w:sz w:val="24"/>
          <w:szCs w:val="24"/>
          <w:highlight w:val="none"/>
          <w:shd w:val="clear" w:color="auto" w:fill="auto"/>
        </w:rPr>
        <w:t>江苏政府采购网</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盐城市政府采购网”发布成交结果公告，公告期限为1个工作日。</w:t>
      </w:r>
    </w:p>
    <w:p w14:paraId="7584C36C">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28.3若有充分证据证明，成交供应商出现下列情况之一的，一经查实，将被取消成交资格：</w:t>
      </w:r>
    </w:p>
    <w:p w14:paraId="456444FF">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28.3.1提供虚假材料谋取成交的。</w:t>
      </w:r>
    </w:p>
    <w:p w14:paraId="64BF6884">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28.3.2与评审专家、采购人、其他供应商或者</w:t>
      </w:r>
      <w:r>
        <w:rPr>
          <w:rFonts w:hint="eastAsia" w:ascii="宋体" w:hAnsi="宋体" w:eastAsia="宋体" w:cs="宋体"/>
          <w:color w:val="auto"/>
          <w:sz w:val="24"/>
          <w:szCs w:val="24"/>
          <w:highlight w:val="none"/>
          <w:lang w:val="en-US" w:eastAsia="zh-CN"/>
        </w:rPr>
        <w:t>采购中心</w:t>
      </w:r>
      <w:r>
        <w:rPr>
          <w:rFonts w:hint="eastAsia" w:ascii="宋体" w:hAnsi="宋体" w:eastAsia="宋体" w:cs="宋体"/>
          <w:color w:val="auto"/>
          <w:sz w:val="24"/>
          <w:szCs w:val="24"/>
          <w:highlight w:val="none"/>
          <w:shd w:val="clear" w:color="auto" w:fill="auto"/>
        </w:rPr>
        <w:t>工作人员恶意串通的。</w:t>
      </w:r>
    </w:p>
    <w:p w14:paraId="778B4B44">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28.3.3向评审专家、采购人或</w:t>
      </w:r>
      <w:r>
        <w:rPr>
          <w:rFonts w:hint="eastAsia" w:ascii="宋体" w:hAnsi="宋体" w:eastAsia="宋体" w:cs="宋体"/>
          <w:color w:val="auto"/>
          <w:sz w:val="24"/>
          <w:szCs w:val="24"/>
          <w:highlight w:val="none"/>
          <w:lang w:val="en-US" w:eastAsia="zh-CN"/>
        </w:rPr>
        <w:t>采购中心</w:t>
      </w:r>
      <w:r>
        <w:rPr>
          <w:rFonts w:hint="eastAsia" w:ascii="宋体" w:hAnsi="宋体" w:eastAsia="宋体" w:cs="宋体"/>
          <w:color w:val="auto"/>
          <w:sz w:val="24"/>
          <w:szCs w:val="24"/>
          <w:highlight w:val="none"/>
          <w:shd w:val="clear" w:color="auto" w:fill="auto"/>
        </w:rPr>
        <w:t>工作人员行贿或者提供其他不正当利益的。</w:t>
      </w:r>
    </w:p>
    <w:p w14:paraId="1489BF84">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28.3.4恶意竞争，最后报价明显低于其自身合理成本且又无法提供证明的。</w:t>
      </w:r>
    </w:p>
    <w:p w14:paraId="1C4476BE">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28.3.5不满足本磋商文件规定的实质性要求，但在评审过程中又未被磋商小组发现的。</w:t>
      </w:r>
    </w:p>
    <w:p w14:paraId="50E8737D">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28.3.6成交后无正当理由拒不与采购人签订政府采购合同或者未按照磋商文件确定的事项签订政府采购合同的。</w:t>
      </w:r>
    </w:p>
    <w:p w14:paraId="4E393A32">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28.3.7将政府采购合同转包的。</w:t>
      </w:r>
    </w:p>
    <w:p w14:paraId="62A60F2A">
      <w:pPr>
        <w:pStyle w:val="32"/>
        <w:keepNext/>
        <w:keepLines/>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bookmarkStart w:id="120" w:name="_Toc200451960"/>
      <w:r>
        <w:rPr>
          <w:rFonts w:hint="eastAsia" w:ascii="宋体" w:hAnsi="宋体" w:eastAsia="宋体" w:cs="宋体"/>
          <w:color w:val="auto"/>
          <w:sz w:val="24"/>
          <w:szCs w:val="24"/>
          <w:highlight w:val="none"/>
          <w:shd w:val="clear" w:color="auto" w:fill="auto"/>
        </w:rPr>
        <w:t>29、质疑处理</w:t>
      </w:r>
      <w:bookmarkEnd w:id="120"/>
    </w:p>
    <w:p w14:paraId="75CB2E00">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29.1 提出质疑的供应商应当是参与所质疑项目采购活动的供应商。潜在供应商依法获取其可质疑的</w:t>
      </w:r>
      <w:r>
        <w:rPr>
          <w:rFonts w:hint="eastAsia" w:ascii="宋体" w:hAnsi="宋体" w:eastAsia="宋体" w:cs="宋体"/>
          <w:i w:val="0"/>
          <w:iCs w:val="0"/>
          <w:caps w:val="0"/>
          <w:color w:val="auto"/>
          <w:spacing w:val="0"/>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文件的，可以对</w:t>
      </w:r>
      <w:r>
        <w:rPr>
          <w:rFonts w:hint="eastAsia" w:ascii="宋体" w:hAnsi="宋体" w:eastAsia="宋体" w:cs="宋体"/>
          <w:i w:val="0"/>
          <w:iCs w:val="0"/>
          <w:caps w:val="0"/>
          <w:color w:val="auto"/>
          <w:spacing w:val="0"/>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文件提出质疑。</w:t>
      </w:r>
    </w:p>
    <w:p w14:paraId="32D6DD28">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29.2供应商认为</w:t>
      </w:r>
      <w:r>
        <w:rPr>
          <w:rFonts w:hint="eastAsia" w:ascii="宋体" w:hAnsi="宋体" w:eastAsia="宋体" w:cs="宋体"/>
          <w:i w:val="0"/>
          <w:iCs w:val="0"/>
          <w:caps w:val="0"/>
          <w:color w:val="auto"/>
          <w:spacing w:val="0"/>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文件、</w:t>
      </w:r>
      <w:r>
        <w:rPr>
          <w:rFonts w:hint="eastAsia" w:ascii="宋体" w:hAnsi="宋体" w:eastAsia="宋体" w:cs="宋体"/>
          <w:i w:val="0"/>
          <w:iCs w:val="0"/>
          <w:caps w:val="0"/>
          <w:color w:val="auto"/>
          <w:spacing w:val="0"/>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过程和</w:t>
      </w:r>
      <w:r>
        <w:rPr>
          <w:rFonts w:hint="eastAsia" w:ascii="宋体" w:hAnsi="宋体" w:eastAsia="宋体" w:cs="宋体"/>
          <w:i w:val="0"/>
          <w:iCs w:val="0"/>
          <w:caps w:val="0"/>
          <w:color w:val="auto"/>
          <w:spacing w:val="0"/>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shd w:val="clear" w:color="auto" w:fill="auto"/>
          <w:lang w:eastAsia="zh-CN"/>
        </w:rPr>
        <w:t>行政服务中心</w:t>
      </w:r>
      <w:r>
        <w:rPr>
          <w:rFonts w:hint="eastAsia" w:ascii="宋体" w:hAnsi="宋体" w:eastAsia="宋体" w:cs="宋体"/>
          <w:color w:val="auto"/>
          <w:sz w:val="24"/>
          <w:szCs w:val="24"/>
          <w:highlight w:val="none"/>
          <w:shd w:val="clear" w:color="auto" w:fill="auto"/>
        </w:rPr>
        <w:t>或采购人提出质疑。上述应知其权益受到损害之日，是指：</w:t>
      </w:r>
    </w:p>
    <w:p w14:paraId="356C6B0E">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29.2.1对可以质疑的</w:t>
      </w:r>
      <w:r>
        <w:rPr>
          <w:rFonts w:hint="eastAsia" w:ascii="宋体" w:hAnsi="宋体" w:eastAsia="宋体" w:cs="宋体"/>
          <w:i w:val="0"/>
          <w:iCs w:val="0"/>
          <w:caps w:val="0"/>
          <w:color w:val="auto"/>
          <w:spacing w:val="0"/>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文件提出质疑的，为收到</w:t>
      </w:r>
      <w:r>
        <w:rPr>
          <w:rFonts w:hint="eastAsia" w:ascii="宋体" w:hAnsi="宋体" w:eastAsia="宋体" w:cs="宋体"/>
          <w:i w:val="0"/>
          <w:iCs w:val="0"/>
          <w:caps w:val="0"/>
          <w:color w:val="auto"/>
          <w:spacing w:val="0"/>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文件之日或者</w:t>
      </w:r>
      <w:r>
        <w:rPr>
          <w:rFonts w:hint="eastAsia" w:ascii="宋体" w:hAnsi="宋体" w:eastAsia="宋体" w:cs="宋体"/>
          <w:i w:val="0"/>
          <w:iCs w:val="0"/>
          <w:caps w:val="0"/>
          <w:color w:val="auto"/>
          <w:spacing w:val="0"/>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文件公告期限届满之日。</w:t>
      </w:r>
    </w:p>
    <w:p w14:paraId="5D8DBBC8">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29.2.2对采购过程提出质疑的，为各采购程序环节结束之日。</w:t>
      </w:r>
    </w:p>
    <w:p w14:paraId="48985D50">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29.2.3对成交结果提出质疑的，为成交结果公告期限届满之日。</w:t>
      </w:r>
    </w:p>
    <w:p w14:paraId="1D3D43EE">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shd w:val="clear" w:color="auto" w:fill="auto"/>
          <w:lang w:eastAsia="zh-CN"/>
        </w:rPr>
        <w:t>行政服务中心</w:t>
      </w:r>
      <w:r>
        <w:rPr>
          <w:rFonts w:hint="eastAsia" w:ascii="宋体" w:hAnsi="宋体" w:eastAsia="宋体" w:cs="宋体"/>
          <w:color w:val="auto"/>
          <w:sz w:val="24"/>
          <w:szCs w:val="24"/>
          <w:highlight w:val="none"/>
          <w:shd w:val="clear" w:color="auto" w:fill="auto"/>
        </w:rPr>
        <w:t>、采购人将只对供应商第一次质疑作出答复。</w:t>
      </w:r>
    </w:p>
    <w:p w14:paraId="1861F5AA">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29.3质疑函必须按照本磋商文件中《质疑函范本》要求的格式和内容进行填写。供应商如组成联合体参加磋商，则《质疑函范本》中要求签字、盖章、加盖公章之处，联合体各方均须按要求签字、盖章、加盖公章。</w:t>
      </w:r>
    </w:p>
    <w:p w14:paraId="202A31F1">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shd w:val="clear" w:color="auto" w:fill="auto"/>
          <w:lang w:eastAsia="zh-CN"/>
        </w:rPr>
        <w:t>行政服务中心</w:t>
      </w:r>
      <w:r>
        <w:rPr>
          <w:rFonts w:hint="eastAsia" w:ascii="宋体" w:hAnsi="宋体" w:eastAsia="宋体" w:cs="宋体"/>
          <w:color w:val="auto"/>
          <w:sz w:val="24"/>
          <w:szCs w:val="24"/>
          <w:highlight w:val="none"/>
          <w:shd w:val="clear" w:color="auto" w:fill="auto"/>
        </w:rPr>
        <w:t>提出，由</w:t>
      </w:r>
      <w:r>
        <w:rPr>
          <w:rFonts w:hint="eastAsia" w:ascii="宋体" w:hAnsi="宋体" w:eastAsia="宋体" w:cs="宋体"/>
          <w:color w:val="auto"/>
          <w:sz w:val="24"/>
          <w:szCs w:val="24"/>
          <w:highlight w:val="none"/>
          <w:shd w:val="clear" w:color="auto" w:fill="auto"/>
          <w:lang w:eastAsia="zh-CN"/>
        </w:rPr>
        <w:t>行政服务中心</w:t>
      </w:r>
      <w:r>
        <w:rPr>
          <w:rFonts w:hint="eastAsia" w:ascii="宋体" w:hAnsi="宋体" w:eastAsia="宋体" w:cs="宋体"/>
          <w:color w:val="auto"/>
          <w:sz w:val="24"/>
          <w:szCs w:val="24"/>
          <w:highlight w:val="none"/>
          <w:shd w:val="clear" w:color="auto" w:fill="auto"/>
        </w:rPr>
        <w:t>负责答复。</w:t>
      </w:r>
    </w:p>
    <w:p w14:paraId="177A5BE6">
      <w:pPr>
        <w:pageBreakBefore w:val="0"/>
        <w:widowControl w:val="0"/>
        <w:tabs>
          <w:tab w:val="left" w:pos="1331"/>
        </w:tabs>
        <w:spacing w:line="460" w:lineRule="exact"/>
        <w:ind w:left="0" w:firstLine="480"/>
        <w:jc w:val="lef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采购人及行政服务中心只接收以纸质原件形式送达的质疑,采购人和行政服务中心不接受未填写快递运单的快件。</w:t>
      </w:r>
      <w:r>
        <w:rPr>
          <w:rFonts w:hint="eastAsia" w:ascii="宋体" w:hAnsi="宋体" w:eastAsia="宋体" w:cs="宋体"/>
          <w:sz w:val="24"/>
        </w:rPr>
        <w:t>质疑接收部门为射阳县行政服务中心，联系地址：盐城市射阳县幸福大道16号，联系电话：</w:t>
      </w:r>
      <w:r>
        <w:rPr>
          <w:rFonts w:hint="eastAsia" w:ascii="宋体" w:hAnsi="宋体" w:eastAsia="宋体" w:cs="宋体"/>
          <w:sz w:val="24"/>
          <w:lang w:eastAsia="zh-CN"/>
        </w:rPr>
        <w:t>0515-82309113</w:t>
      </w:r>
      <w:r>
        <w:rPr>
          <w:rFonts w:hint="eastAsia" w:ascii="宋体" w:hAnsi="宋体" w:eastAsia="宋体" w:cs="宋体"/>
          <w:sz w:val="24"/>
        </w:rPr>
        <w:t>。</w:t>
      </w:r>
    </w:p>
    <w:p w14:paraId="6AD799F3">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 以下情形的质疑不予受理</w:t>
      </w:r>
    </w:p>
    <w:p w14:paraId="5403E811">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29.5.1 内容不符合《政府采购质疑和投诉办法》第十二条规定的质疑。</w:t>
      </w:r>
    </w:p>
    <w:p w14:paraId="3DF20926">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29.5.2 超出政府采购法定期限的质疑。</w:t>
      </w:r>
    </w:p>
    <w:p w14:paraId="564701A2">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29.5.3 以传真、电子邮件等方式递交的非原件形式的质疑。</w:t>
      </w:r>
    </w:p>
    <w:p w14:paraId="7C182875">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29.5.4 未参加磋商活动的供应商或在磋商活动中自身权益未受到损害的供应商所提出的质疑。</w:t>
      </w:r>
    </w:p>
    <w:p w14:paraId="1E038CE2">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29.5.5供应商组成联合体参加磋商，联合体中任何一方或多方未按要求签字、盖章、加盖公章的质疑。</w:t>
      </w:r>
    </w:p>
    <w:p w14:paraId="18D12DA7">
      <w:pPr>
        <w:pStyle w:val="32"/>
        <w:pageBreakBefore w:val="0"/>
        <w:widowControl w:val="0"/>
        <w:spacing w:beforeAutospacing="0" w:afterAutospacing="0" w:line="460" w:lineRule="exact"/>
        <w:ind w:left="0" w:firstLine="46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29.6供应商提出书面质疑必须有理、有据，不得捏造事实、提供虚假材料进行恶意质疑。否则，一经查实，</w:t>
      </w:r>
      <w:r>
        <w:rPr>
          <w:rFonts w:hint="eastAsia" w:ascii="宋体" w:hAnsi="宋体" w:eastAsia="宋体" w:cs="宋体"/>
          <w:color w:val="auto"/>
          <w:sz w:val="24"/>
          <w:szCs w:val="24"/>
          <w:highlight w:val="none"/>
          <w:shd w:val="clear" w:color="auto" w:fill="auto"/>
          <w:lang w:eastAsia="zh-CN"/>
        </w:rPr>
        <w:t>行政服务中心</w:t>
      </w:r>
      <w:r>
        <w:rPr>
          <w:rFonts w:hint="eastAsia" w:ascii="宋体" w:hAnsi="宋体" w:eastAsia="宋体" w:cs="宋体"/>
          <w:color w:val="auto"/>
          <w:sz w:val="24"/>
          <w:szCs w:val="24"/>
          <w:highlight w:val="none"/>
          <w:shd w:val="clear" w:color="auto" w:fill="auto"/>
        </w:rPr>
        <w:t>有权依据政府采购的有关规定，报请政府采购监管部门对该供应商进行相应的行政处罚和记录该供应商的失信信息。</w:t>
      </w:r>
    </w:p>
    <w:p w14:paraId="20856862">
      <w:pPr>
        <w:pStyle w:val="32"/>
        <w:keepNext/>
        <w:keepLines/>
        <w:pageBreakBefore w:val="0"/>
        <w:widowControl w:val="0"/>
        <w:spacing w:beforeAutospacing="0" w:afterAutospacing="0" w:line="460" w:lineRule="exact"/>
        <w:ind w:left="0" w:firstLine="6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30、成交通知书</w:t>
      </w:r>
    </w:p>
    <w:p w14:paraId="2F48660A">
      <w:pPr>
        <w:pStyle w:val="32"/>
        <w:pageBreakBefore w:val="0"/>
        <w:widowControl w:val="0"/>
        <w:spacing w:beforeAutospacing="0" w:afterAutospacing="0" w:line="460" w:lineRule="exact"/>
        <w:ind w:left="0" w:firstLine="6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30.1成交结果确定后，</w:t>
      </w:r>
      <w:r>
        <w:rPr>
          <w:rFonts w:hint="eastAsia" w:ascii="宋体" w:hAnsi="宋体" w:eastAsia="宋体" w:cs="宋体"/>
          <w:color w:val="auto"/>
          <w:sz w:val="24"/>
          <w:szCs w:val="24"/>
          <w:highlight w:val="none"/>
          <w:lang w:val="en-US" w:eastAsia="zh-CN"/>
        </w:rPr>
        <w:t>采购中心</w:t>
      </w:r>
      <w:r>
        <w:rPr>
          <w:rFonts w:hint="eastAsia" w:ascii="宋体" w:hAnsi="宋体" w:eastAsia="宋体" w:cs="宋体"/>
          <w:color w:val="auto"/>
          <w:sz w:val="24"/>
          <w:szCs w:val="24"/>
          <w:highlight w:val="none"/>
          <w:shd w:val="clear" w:color="auto" w:fill="auto"/>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786EE160">
      <w:pPr>
        <w:pStyle w:val="32"/>
        <w:pageBreakBefore w:val="0"/>
        <w:widowControl w:val="0"/>
        <w:spacing w:beforeAutospacing="0" w:afterAutospacing="0" w:line="460" w:lineRule="exact"/>
        <w:ind w:left="0" w:firstLine="6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30.2成交通知书将是合同的一个组成部分。对采购人和成交供应商均具有法律效力。成交通知书发出后，采购人改变成交结果的，或者成交供应商放弃成交项目的，应当依法承担法律责任。</w:t>
      </w:r>
    </w:p>
    <w:p w14:paraId="6E3D9399">
      <w:pPr>
        <w:pStyle w:val="32"/>
        <w:keepNext/>
        <w:keepLines/>
        <w:pageBreakBefore w:val="0"/>
        <w:widowControl w:val="0"/>
        <w:spacing w:beforeAutospacing="0" w:afterAutospacing="0" w:line="460" w:lineRule="exact"/>
        <w:ind w:left="0"/>
        <w:jc w:val="both"/>
        <w:rPr>
          <w:rFonts w:hint="eastAsia" w:ascii="宋体" w:hAnsi="宋体" w:eastAsia="宋体" w:cs="宋体"/>
          <w:color w:val="auto"/>
          <w:sz w:val="24"/>
          <w:szCs w:val="24"/>
          <w:highlight w:val="none"/>
          <w:shd w:val="clear" w:color="auto" w:fill="auto"/>
        </w:rPr>
      </w:pPr>
      <w:bookmarkStart w:id="121" w:name="_Toc513029236"/>
      <w:bookmarkStart w:id="122" w:name="_Toc20823308"/>
      <w:bookmarkStart w:id="123" w:name="_Toc16938552"/>
      <w:bookmarkStart w:id="124" w:name="_Toc120614220"/>
      <w:r>
        <w:rPr>
          <w:rFonts w:hint="eastAsia" w:ascii="宋体" w:hAnsi="宋体" w:eastAsia="宋体" w:cs="宋体"/>
          <w:b/>
          <w:color w:val="auto"/>
          <w:sz w:val="24"/>
          <w:szCs w:val="24"/>
          <w:highlight w:val="none"/>
          <w:shd w:val="clear" w:color="auto" w:fill="auto"/>
        </w:rPr>
        <w:t>七、授予合同</w:t>
      </w:r>
      <w:bookmarkEnd w:id="121"/>
      <w:bookmarkEnd w:id="122"/>
      <w:bookmarkEnd w:id="123"/>
      <w:bookmarkEnd w:id="124"/>
    </w:p>
    <w:p w14:paraId="4EE5FE85">
      <w:pPr>
        <w:pStyle w:val="32"/>
        <w:keepNext/>
        <w:keepLines/>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bookmarkStart w:id="125" w:name="_Toc16938553"/>
      <w:bookmarkStart w:id="126" w:name="_Toc20823309"/>
      <w:bookmarkStart w:id="127" w:name="_Toc513029237"/>
      <w:r>
        <w:rPr>
          <w:rFonts w:hint="eastAsia" w:ascii="宋体" w:hAnsi="宋体" w:eastAsia="宋体" w:cs="宋体"/>
          <w:color w:val="auto"/>
          <w:sz w:val="24"/>
          <w:szCs w:val="24"/>
          <w:highlight w:val="none"/>
          <w:shd w:val="clear" w:color="auto" w:fill="auto"/>
        </w:rPr>
        <w:t>31. 签订合同</w:t>
      </w:r>
      <w:bookmarkEnd w:id="125"/>
      <w:bookmarkEnd w:id="126"/>
      <w:bookmarkEnd w:id="127"/>
    </w:p>
    <w:p w14:paraId="63BDF59B">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31.l成交供应商应当在成交通知书发出之日起三十日内，按照磋商文件确定的事项与采购人签订政府采购合同。</w:t>
      </w:r>
    </w:p>
    <w:p w14:paraId="441EA2C1">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31.2磋商文件、成交供应商的响应文件及磋商过程中有关澄清、承诺文件均应作为合同附件。</w:t>
      </w:r>
    </w:p>
    <w:p w14:paraId="15901B67">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31.3 签订合同后，</w:t>
      </w:r>
      <w:r>
        <w:rPr>
          <w:rFonts w:hint="eastAsia" w:ascii="宋体" w:hAnsi="宋体" w:eastAsia="宋体" w:cs="宋体"/>
          <w:i/>
          <w:iCs/>
          <w:color w:val="auto"/>
          <w:sz w:val="24"/>
          <w:szCs w:val="24"/>
          <w:highlight w:val="none"/>
          <w:u w:val="single"/>
          <w:shd w:val="clear" w:color="auto" w:fill="auto"/>
        </w:rPr>
        <w:t>成交供应商不得将合同标的进行转包</w:t>
      </w:r>
      <w:r>
        <w:rPr>
          <w:rFonts w:hint="eastAsia" w:ascii="宋体" w:hAnsi="宋体" w:eastAsia="宋体" w:cs="宋体"/>
          <w:color w:val="auto"/>
          <w:sz w:val="24"/>
          <w:szCs w:val="24"/>
          <w:highlight w:val="none"/>
          <w:shd w:val="clear" w:color="auto" w:fill="auto"/>
        </w:rPr>
        <w:t>。未经采购人同意，成交供应商也不得采用分包形式履行合同,否则采购人有权终止合同。转包或分包造成采购人损失的，成交供应商应承担相应赔偿责任。</w:t>
      </w:r>
    </w:p>
    <w:p w14:paraId="02D78006">
      <w:pPr>
        <w:pStyle w:val="32"/>
        <w:keepNext/>
        <w:keepLines/>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32、标的物的追加</w:t>
      </w:r>
    </w:p>
    <w:p w14:paraId="1C3A95CF">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0C2150C4">
      <w:pPr>
        <w:pStyle w:val="32"/>
        <w:pageBreakBefore w:val="0"/>
        <w:widowControl w:val="0"/>
        <w:numPr>
          <w:ilvl w:val="0"/>
          <w:numId w:val="0"/>
        </w:numPr>
        <w:spacing w:beforeAutospacing="0" w:afterAutospacing="0" w:line="460" w:lineRule="exact"/>
        <w:ind w:left="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33.政府采购政策功能落实</w:t>
      </w:r>
    </w:p>
    <w:p w14:paraId="4C03058F">
      <w:pPr>
        <w:pStyle w:val="32"/>
        <w:keepNext/>
        <w:keepLines/>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33.1</w:t>
      </w:r>
      <w:r>
        <w:rPr>
          <w:rFonts w:hint="eastAsia" w:ascii="宋体" w:hAnsi="宋体" w:eastAsia="宋体" w:cs="宋体"/>
          <w:color w:val="auto"/>
          <w:sz w:val="24"/>
          <w:szCs w:val="24"/>
          <w:highlight w:val="none"/>
          <w:shd w:val="clear" w:color="auto" w:fill="auto"/>
        </w:rPr>
        <w:t>政府采购</w:t>
      </w:r>
      <w:r>
        <w:rPr>
          <w:rFonts w:hint="eastAsia" w:ascii="宋体" w:hAnsi="宋体" w:eastAsia="宋体" w:cs="宋体"/>
          <w:color w:val="auto"/>
          <w:sz w:val="24"/>
          <w:szCs w:val="24"/>
          <w:highlight w:val="none"/>
          <w:shd w:val="clear" w:color="auto" w:fill="auto"/>
          <w:lang w:eastAsia="zh-CN"/>
        </w:rPr>
        <w:t>线上合同信用融资</w:t>
      </w:r>
      <w:r>
        <w:rPr>
          <w:rFonts w:hint="eastAsia" w:ascii="宋体" w:hAnsi="宋体" w:eastAsia="宋体" w:cs="宋体"/>
          <w:color w:val="auto"/>
          <w:sz w:val="24"/>
          <w:szCs w:val="24"/>
          <w:highlight w:val="none"/>
          <w:shd w:val="clear" w:color="auto" w:fill="auto"/>
        </w:rPr>
        <w:t>政策</w:t>
      </w:r>
    </w:p>
    <w:p w14:paraId="779CD4EA">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根据《转发江苏省财政厅 中国人民银行南京分行</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关于深入推进政府采购线上合同信用融资工作的通知</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江苏省</w:t>
      </w:r>
      <w:r>
        <w:rPr>
          <w:rFonts w:hint="eastAsia" w:ascii="宋体" w:hAnsi="宋体" w:eastAsia="宋体" w:cs="宋体"/>
          <w:color w:val="auto"/>
          <w:sz w:val="24"/>
          <w:szCs w:val="24"/>
          <w:highlight w:val="none"/>
          <w:shd w:val="clear" w:color="auto" w:fill="auto"/>
        </w:rPr>
        <w:t>政府采购网“政采贷”栏目）申请贷款，相关金融机构按照双方自愿的原则提供便捷、优惠的贷款服务；具体操作流程请参考苏采云系统中操作手册。 </w:t>
      </w:r>
    </w:p>
    <w:p w14:paraId="178DC63B">
      <w:pPr>
        <w:pageBreakBefore w:val="0"/>
        <w:widowControl w:val="0"/>
        <w:tabs>
          <w:tab w:val="left" w:pos="1381"/>
        </w:tabs>
        <w:spacing w:line="460" w:lineRule="exact"/>
        <w:ind w:left="0"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33.2进口产品</w:t>
      </w:r>
    </w:p>
    <w:p w14:paraId="65D5FB9E">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进口产品</w:t>
      </w:r>
      <w:r>
        <w:rPr>
          <w:rFonts w:hint="eastAsia" w:ascii="宋体" w:hAnsi="宋体" w:eastAsia="宋体" w:cs="宋体"/>
          <w:color w:val="auto"/>
          <w:sz w:val="24"/>
          <w:szCs w:val="24"/>
          <w:highlight w:val="none"/>
          <w:shd w:val="clear" w:color="auto" w:fill="auto"/>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16D7508">
      <w:pPr>
        <w:pageBreakBefore w:val="0"/>
        <w:widowControl w:val="0"/>
        <w:tabs>
          <w:tab w:val="left" w:pos="1381"/>
        </w:tabs>
        <w:spacing w:line="460" w:lineRule="exact"/>
        <w:ind w:left="0"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33.3中小企业、监狱企业及残疾人福利性单位</w:t>
      </w:r>
    </w:p>
    <w:p w14:paraId="3F626810">
      <w:pPr>
        <w:pageBreakBefore w:val="0"/>
        <w:widowControl w:val="0"/>
        <w:spacing w:line="46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.3.1中小企业定义：</w:t>
      </w:r>
    </w:p>
    <w:p w14:paraId="54EB498F">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政府采购促进中小企业发展管理办法》（财库〔2020〕46号）、《关于印发中小企业划型标准规定的通知》（工信部联企业〔2011〕300 号）、《国务院关于进一步促进中小企业发展的若干意见》（国发〔2009〕36 号）。</w:t>
      </w:r>
    </w:p>
    <w:p w14:paraId="28600430">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.3.2供应商提供的货物、工程或者服务符合下列情形的，享受中小企业扶持政策：</w:t>
      </w:r>
    </w:p>
    <w:p w14:paraId="40F9A464">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.3.2.1在货物采购项目中，货物由中小企业制造，即货物由中小企业生产且使用该中小企业商号或者注册商标；</w:t>
      </w:r>
    </w:p>
    <w:p w14:paraId="2B6F42D7">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.3.2.2在工程采购项目中，工程由中小企业承建，即工程施工单位为中小企业；</w:t>
      </w:r>
    </w:p>
    <w:p w14:paraId="44281447">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.3.2.3在服务采购项目中，服务由中小企业承接，即提供服务的人员为中小企业依照《中华人民共和国劳动合同法》订立劳动合同的从业人员。</w:t>
      </w:r>
    </w:p>
    <w:p w14:paraId="05AD69E7">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.3.3在货物采购项目中，供应商提供的货物既有中小企业制造货物，也有大型企业制造货物的，不享受中小企业扶持政策。</w:t>
      </w:r>
    </w:p>
    <w:p w14:paraId="0BB15432">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.3.4以联合体形式参加政府采购活动，联合体各方均为中小企业的，联合体视同中小企业。其中，联合体各方均为小微企业的，联合体视同小微企业。</w:t>
      </w:r>
    </w:p>
    <w:p w14:paraId="69DF6907">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E4493B9">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.3.6残疾人福利单位定义：享受政府采购支持政策的残疾人福利性单位应当同时满足以下条件：</w:t>
      </w:r>
    </w:p>
    <w:p w14:paraId="74CCC1A9">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.3.6.1安置的残疾人占本单位在职职工人数的比例不低于25%（含25%），并且安置的残疾人人数不少于10 人（含10 人）；</w:t>
      </w:r>
    </w:p>
    <w:p w14:paraId="559A1F86">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.3.6.2依法与安置的每位残疾人签订了一年以上（含一年）的劳动合同或服务协议；</w:t>
      </w:r>
    </w:p>
    <w:p w14:paraId="7247369B">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.3.6.3为安置的每位残疾人按月足额缴纳了基本养老保险、基本医疗保险、失业保险、工伤保险和生育保险等社会保险费；</w:t>
      </w:r>
    </w:p>
    <w:p w14:paraId="241BACD5">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.3.6.4通过银行等金融机构向安置的每位残疾人，按月支付了不低于单位所在区县适用的经省级人民政府批准的月最低工资标准的工资；</w:t>
      </w:r>
    </w:p>
    <w:p w14:paraId="6A9EB651">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.3.6.5提供本单位制造的货物、承担的工程或者服务（以下简称产品），或者提供其他残疾人福利性单位制造的货物（不包括使用非残疾人福利性单位注册商标的货物）；</w:t>
      </w:r>
    </w:p>
    <w:p w14:paraId="0ED83758">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C471062">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.3.7本项目是否专门面向中小企业预留采购份额见第一章《</w:t>
      </w:r>
      <w:r>
        <w:rPr>
          <w:rFonts w:hint="eastAsia" w:ascii="宋体" w:hAnsi="宋体" w:eastAsia="宋体" w:cs="宋体"/>
          <w:color w:val="auto"/>
          <w:sz w:val="24"/>
          <w:szCs w:val="24"/>
          <w:highlight w:val="none"/>
          <w:lang w:val="en-US" w:eastAsia="zh-CN"/>
        </w:rPr>
        <w:t>竞争性磋商公告</w:t>
      </w:r>
      <w:r>
        <w:rPr>
          <w:rFonts w:hint="eastAsia" w:ascii="宋体" w:hAnsi="宋体" w:eastAsia="宋体" w:cs="宋体"/>
          <w:color w:val="auto"/>
          <w:sz w:val="24"/>
          <w:szCs w:val="24"/>
          <w:highlight w:val="none"/>
          <w:shd w:val="clear" w:color="auto" w:fill="auto"/>
        </w:rPr>
        <w:t>》。</w:t>
      </w:r>
    </w:p>
    <w:p w14:paraId="695171DE">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w:t>
      </w:r>
      <w:r>
        <w:rPr>
          <w:rFonts w:hint="eastAsia" w:ascii="宋体" w:hAnsi="宋体" w:eastAsia="宋体" w:cs="宋体"/>
          <w:color w:val="auto"/>
          <w:sz w:val="24"/>
          <w:szCs w:val="24"/>
          <w:highlight w:val="none"/>
          <w:shd w:val="clear" w:color="auto" w:fill="auto"/>
        </w:rPr>
        <w:t>.3.8采购标的对应的中小企业划分标准所属行业见第四章《采购需求》。</w:t>
      </w:r>
    </w:p>
    <w:p w14:paraId="638EAF3E">
      <w:pPr>
        <w:pStyle w:val="32"/>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.3.9小微企业价格评审优惠的政策：见第五章《评标方法和评标标准》。</w:t>
      </w:r>
    </w:p>
    <w:p w14:paraId="68896DE4">
      <w:pPr>
        <w:pageBreakBefore w:val="0"/>
        <w:widowControl w:val="0"/>
        <w:tabs>
          <w:tab w:val="left" w:pos="1381"/>
        </w:tabs>
        <w:spacing w:line="460" w:lineRule="exact"/>
        <w:ind w:left="0"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33.4政府采购节能产品、环境标志产品</w:t>
      </w:r>
    </w:p>
    <w:p w14:paraId="589B8D31">
      <w:pPr>
        <w:pageBreakBefore w:val="0"/>
        <w:widowControl w:val="0"/>
        <w:spacing w:line="46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其他条件相同情况下，应当优先采购节能产品、环境标志产品。</w:t>
      </w:r>
    </w:p>
    <w:p w14:paraId="766C5BEB">
      <w:pPr>
        <w:pageBreakBefore w:val="0"/>
        <w:widowControl w:val="0"/>
        <w:spacing w:line="46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29C8F97">
      <w:pPr>
        <w:pageBreakBefore w:val="0"/>
        <w:widowControl w:val="0"/>
        <w:tabs>
          <w:tab w:val="left" w:pos="1381"/>
        </w:tabs>
        <w:spacing w:line="460" w:lineRule="exact"/>
        <w:ind w:left="0"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33.5绿色包装</w:t>
      </w:r>
    </w:p>
    <w:p w14:paraId="6BC0C97C">
      <w:pPr>
        <w:pageBreakBefore w:val="0"/>
        <w:widowControl w:val="0"/>
        <w:spacing w:line="46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385A9AFB">
      <w:pPr>
        <w:pageBreakBefore w:val="0"/>
        <w:widowControl w:val="0"/>
        <w:tabs>
          <w:tab w:val="left" w:pos="1381"/>
        </w:tabs>
        <w:spacing w:line="460" w:lineRule="exact"/>
        <w:ind w:left="0"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33.6政府采购创新产品</w:t>
      </w:r>
    </w:p>
    <w:p w14:paraId="5187FFAA">
      <w:pPr>
        <w:pageBreakBefore w:val="0"/>
        <w:widowControl w:val="0"/>
        <w:pBdr>
          <w:top w:val="none" w:color="000000" w:sz="0" w:space="0"/>
          <w:left w:val="none" w:color="000000" w:sz="0" w:space="0"/>
          <w:bottom w:val="none" w:color="000000" w:sz="0" w:space="0"/>
          <w:right w:val="none" w:color="000000" w:sz="0" w:space="0"/>
        </w:pBdr>
        <w:spacing w:line="460" w:lineRule="exact"/>
        <w:ind w:left="0" w:right="0" w:firstLine="47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w:t>
      </w:r>
    </w:p>
    <w:p w14:paraId="01FB84F4">
      <w:pPr>
        <w:pageBreakBefore w:val="0"/>
        <w:widowControl w:val="0"/>
        <w:tabs>
          <w:tab w:val="left" w:pos="1381"/>
        </w:tabs>
        <w:spacing w:line="460" w:lineRule="exact"/>
        <w:ind w:left="0"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p>
    <w:p w14:paraId="5950FB19">
      <w:pPr>
        <w:pageBreakBefore w:val="0"/>
        <w:widowControl w:val="0"/>
        <w:spacing w:line="460" w:lineRule="exact"/>
        <w:ind w:left="0" w:firstLine="480"/>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i w:val="0"/>
          <w:iCs w:val="0"/>
          <w:caps w:val="0"/>
          <w:color w:val="auto"/>
          <w:spacing w:val="0"/>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lang w:val="en-US" w:eastAsia="zh-CN" w:bidi="ar-SA"/>
        </w:rPr>
        <w:t>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574EEFF">
      <w:pPr>
        <w:pageBreakBefore w:val="0"/>
        <w:widowControl w:val="0"/>
        <w:tabs>
          <w:tab w:val="left" w:pos="1381"/>
        </w:tabs>
        <w:spacing w:line="460" w:lineRule="exact"/>
        <w:ind w:left="0"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33.8履约保证金政策</w:t>
      </w:r>
    </w:p>
    <w:p w14:paraId="58ECE7C6">
      <w:pPr>
        <w:pStyle w:val="189"/>
        <w:pageBreakBefore w:val="0"/>
        <w:widowControl w:val="0"/>
        <w:spacing w:after="0" w:line="460" w:lineRule="exact"/>
        <w:ind w:left="0" w:firstLine="56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确需收取履约保证金的，履约保证金的缴纳形式：</w:t>
      </w:r>
    </w:p>
    <w:p w14:paraId="417E9FE9">
      <w:pPr>
        <w:pageBreakBefore w:val="0"/>
        <w:widowControl w:val="0"/>
        <w:spacing w:line="46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ED98EA4">
      <w:pPr>
        <w:pageBreakBefore w:val="0"/>
        <w:widowControl w:val="0"/>
        <w:spacing w:line="46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p>
    <w:p w14:paraId="4C07A249">
      <w:pPr>
        <w:pageBreakBefore w:val="0"/>
        <w:widowControl w:val="0"/>
        <w:spacing w:line="46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715CA363">
      <w:pPr>
        <w:pageBreakBefore w:val="0"/>
        <w:widowControl w:val="0"/>
        <w:tabs>
          <w:tab w:val="left" w:pos="1381"/>
        </w:tabs>
        <w:spacing w:line="460" w:lineRule="exact"/>
        <w:ind w:left="0"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34. 预付款制度</w:t>
      </w:r>
    </w:p>
    <w:p w14:paraId="22EE7400">
      <w:pPr>
        <w:pageBreakBefore w:val="0"/>
        <w:widowControl w:val="0"/>
        <w:spacing w:line="46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30</w:t>
      </w:r>
      <w:r>
        <w:rPr>
          <w:rFonts w:hint="eastAsia" w:ascii="宋体" w:hAnsi="宋体" w:eastAsia="宋体" w:cs="宋体"/>
          <w:color w:val="auto"/>
          <w:sz w:val="24"/>
          <w:szCs w:val="24"/>
          <w:highlight w:val="none"/>
          <w:shd w:val="clear" w:color="auto" w:fill="auto"/>
          <w:lang w:val="en-US" w:eastAsia="zh-CN" w:bidi="ar-SA"/>
        </w:rPr>
        <w:t>%。在签订合同时，中标、成交供应商明确书面表示无需预付款或者主动要求降低预付款比例的，采购人可就预付款比例作相应调整。</w:t>
      </w:r>
    </w:p>
    <w:p w14:paraId="66666597">
      <w:pPr>
        <w:pStyle w:val="189"/>
        <w:spacing w:after="0" w:line="520" w:lineRule="exact"/>
        <w:ind w:left="0" w:firstLine="560"/>
        <w:rPr>
          <w:rFonts w:hint="eastAsia" w:ascii="宋体" w:hAnsi="宋体" w:eastAsia="宋体" w:cs="宋体"/>
          <w:color w:val="auto"/>
          <w:sz w:val="24"/>
          <w:szCs w:val="24"/>
          <w:highlight w:val="none"/>
          <w:shd w:val="clear" w:color="auto" w:fill="auto"/>
          <w:lang w:val="en-US" w:eastAsia="zh-CN" w:bidi="ar-SA"/>
        </w:rPr>
      </w:pPr>
    </w:p>
    <w:p w14:paraId="3DCE3904">
      <w:pPr>
        <w:pStyle w:val="32"/>
        <w:spacing w:beforeAutospacing="0" w:afterAutospacing="0" w:line="0" w:lineRule="atLeast"/>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4FBB5EBF">
      <w:pPr>
        <w:rPr>
          <w:rFonts w:hint="eastAsia" w:ascii="宋体" w:hAnsi="宋体" w:eastAsia="宋体" w:cs="宋体"/>
          <w:color w:val="auto"/>
          <w:sz w:val="24"/>
          <w:szCs w:val="24"/>
          <w:highlight w:val="none"/>
          <w:shd w:val="clear" w:color="auto" w:fill="auto"/>
        </w:rPr>
      </w:pPr>
    </w:p>
    <w:p w14:paraId="2708EDBD">
      <w:pPr>
        <w:rPr>
          <w:rFonts w:hint="eastAsia" w:ascii="宋体" w:hAnsi="宋体" w:eastAsia="宋体" w:cs="宋体"/>
          <w:color w:val="auto"/>
          <w:sz w:val="24"/>
          <w:szCs w:val="24"/>
          <w:highlight w:val="none"/>
          <w:shd w:val="clear" w:color="auto" w:fill="auto"/>
        </w:rPr>
      </w:pPr>
    </w:p>
    <w:p w14:paraId="06802B55">
      <w:pPr>
        <w:rPr>
          <w:rFonts w:hint="eastAsia" w:ascii="宋体" w:hAnsi="宋体" w:eastAsia="宋体" w:cs="宋体"/>
          <w:color w:val="auto"/>
          <w:sz w:val="24"/>
          <w:szCs w:val="24"/>
          <w:highlight w:val="none"/>
          <w:shd w:val="clear" w:color="auto" w:fill="auto"/>
        </w:rPr>
      </w:pPr>
    </w:p>
    <w:p w14:paraId="6AB98EF5">
      <w:pPr>
        <w:rPr>
          <w:rFonts w:hint="eastAsia" w:ascii="宋体" w:hAnsi="宋体" w:eastAsia="宋体" w:cs="宋体"/>
          <w:color w:val="auto"/>
          <w:sz w:val="24"/>
          <w:szCs w:val="24"/>
          <w:highlight w:val="none"/>
          <w:shd w:val="clear" w:color="auto" w:fill="auto"/>
        </w:rPr>
      </w:pPr>
    </w:p>
    <w:p w14:paraId="718E5F8B">
      <w:pPr>
        <w:rPr>
          <w:rFonts w:hint="eastAsia" w:ascii="宋体" w:hAnsi="宋体" w:eastAsia="宋体" w:cs="宋体"/>
          <w:color w:val="auto"/>
          <w:sz w:val="24"/>
          <w:szCs w:val="24"/>
          <w:highlight w:val="none"/>
          <w:shd w:val="clear" w:color="auto" w:fill="auto"/>
        </w:rPr>
      </w:pPr>
    </w:p>
    <w:p w14:paraId="171FAB98">
      <w:pPr>
        <w:rPr>
          <w:rFonts w:hint="eastAsia" w:ascii="宋体" w:hAnsi="宋体" w:eastAsia="宋体" w:cs="宋体"/>
          <w:color w:val="auto"/>
          <w:sz w:val="24"/>
          <w:szCs w:val="24"/>
          <w:highlight w:val="none"/>
          <w:shd w:val="clear" w:color="auto" w:fill="auto"/>
        </w:rPr>
      </w:pPr>
    </w:p>
    <w:p w14:paraId="147FCBAC">
      <w:pPr>
        <w:rPr>
          <w:rFonts w:hint="eastAsia" w:ascii="宋体" w:hAnsi="宋体" w:eastAsia="宋体" w:cs="宋体"/>
          <w:color w:val="auto"/>
          <w:sz w:val="24"/>
          <w:szCs w:val="24"/>
          <w:highlight w:val="none"/>
          <w:shd w:val="clear" w:color="auto" w:fill="auto"/>
        </w:rPr>
      </w:pPr>
    </w:p>
    <w:p w14:paraId="7830E651">
      <w:pPr>
        <w:rPr>
          <w:rFonts w:hint="eastAsia" w:ascii="宋体" w:hAnsi="宋体" w:eastAsia="宋体" w:cs="宋体"/>
          <w:color w:val="auto"/>
          <w:sz w:val="24"/>
          <w:szCs w:val="24"/>
          <w:highlight w:val="none"/>
          <w:shd w:val="clear" w:color="auto" w:fill="auto"/>
        </w:rPr>
      </w:pPr>
    </w:p>
    <w:p w14:paraId="28D6BBCE">
      <w:pPr>
        <w:rPr>
          <w:rFonts w:hint="eastAsia" w:ascii="宋体" w:hAnsi="宋体" w:eastAsia="宋体" w:cs="宋体"/>
          <w:color w:val="auto"/>
          <w:sz w:val="24"/>
          <w:szCs w:val="24"/>
          <w:highlight w:val="none"/>
          <w:shd w:val="clear" w:color="auto" w:fill="auto"/>
        </w:rPr>
      </w:pPr>
    </w:p>
    <w:p w14:paraId="4EFE88BD">
      <w:pPr>
        <w:rPr>
          <w:rFonts w:hint="eastAsia" w:ascii="宋体" w:hAnsi="宋体" w:eastAsia="宋体" w:cs="宋体"/>
          <w:color w:val="auto"/>
          <w:sz w:val="24"/>
          <w:szCs w:val="24"/>
          <w:highlight w:val="none"/>
          <w:shd w:val="clear" w:color="auto" w:fill="auto"/>
        </w:rPr>
      </w:pPr>
    </w:p>
    <w:p w14:paraId="5B9DACBB">
      <w:pPr>
        <w:rPr>
          <w:rFonts w:hint="eastAsia" w:ascii="宋体" w:hAnsi="宋体" w:eastAsia="宋体" w:cs="宋体"/>
          <w:color w:val="auto"/>
          <w:sz w:val="24"/>
          <w:szCs w:val="24"/>
          <w:highlight w:val="none"/>
          <w:shd w:val="clear" w:color="auto" w:fill="auto"/>
        </w:rPr>
      </w:pPr>
    </w:p>
    <w:p w14:paraId="1AE1A416">
      <w:pPr>
        <w:rPr>
          <w:rFonts w:hint="eastAsia" w:ascii="宋体" w:hAnsi="宋体" w:eastAsia="宋体" w:cs="宋体"/>
          <w:color w:val="auto"/>
          <w:sz w:val="24"/>
          <w:szCs w:val="24"/>
          <w:highlight w:val="none"/>
          <w:shd w:val="clear" w:color="auto" w:fill="auto"/>
        </w:rPr>
      </w:pPr>
    </w:p>
    <w:p w14:paraId="18423DCF">
      <w:pPr>
        <w:rPr>
          <w:rFonts w:hint="eastAsia" w:ascii="宋体" w:hAnsi="宋体" w:eastAsia="宋体" w:cs="宋体"/>
          <w:color w:val="auto"/>
          <w:sz w:val="24"/>
          <w:szCs w:val="24"/>
          <w:highlight w:val="none"/>
          <w:shd w:val="clear" w:color="auto" w:fill="auto"/>
        </w:rPr>
      </w:pPr>
    </w:p>
    <w:p w14:paraId="41380BDB">
      <w:pP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br w:type="page"/>
      </w:r>
    </w:p>
    <w:p w14:paraId="3B42C400">
      <w:pPr>
        <w:pStyle w:val="32"/>
        <w:keepNext/>
        <w:spacing w:beforeAutospacing="0" w:afterAutospacing="0"/>
        <w:ind w:firstLine="0"/>
        <w:jc w:val="center"/>
        <w:rPr>
          <w:color w:val="auto"/>
          <w:highlight w:val="none"/>
          <w:shd w:val="clear" w:color="auto" w:fill="auto"/>
        </w:rPr>
      </w:pPr>
      <w:r>
        <w:rPr>
          <w:rFonts w:hint="eastAsia" w:ascii="黑体" w:hAnsi="宋体" w:eastAsia="黑体" w:cs="黑体"/>
          <w:color w:val="auto"/>
          <w:sz w:val="44"/>
          <w:szCs w:val="44"/>
          <w:highlight w:val="none"/>
          <w:shd w:val="clear" w:color="auto" w:fill="auto"/>
        </w:rPr>
        <w:t>第三章  合同文本</w:t>
      </w:r>
    </w:p>
    <w:p w14:paraId="4517250D">
      <w:pPr>
        <w:pStyle w:val="32"/>
        <w:keepNext w:val="0"/>
        <w:keepLines w:val="0"/>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shd w:val="clear" w:color="auto" w:fill="auto"/>
        </w:rPr>
      </w:pPr>
      <w:bookmarkStart w:id="128" w:name="_Toc16938559"/>
      <w:bookmarkStart w:id="129" w:name="_Toc513029243"/>
      <w:bookmarkStart w:id="130" w:name="_Toc20823315"/>
      <w:r>
        <w:rPr>
          <w:rFonts w:hint="eastAsia" w:ascii="宋体" w:hAnsi="宋体" w:eastAsia="宋体" w:cs="宋体"/>
          <w:color w:val="auto"/>
          <w:sz w:val="24"/>
          <w:szCs w:val="24"/>
          <w:highlight w:val="none"/>
          <w:shd w:val="clear" w:color="auto" w:fill="auto"/>
        </w:rPr>
        <w:t>以下为成交后</w:t>
      </w:r>
      <w:r>
        <w:rPr>
          <w:rFonts w:hint="eastAsia" w:ascii="宋体" w:hAnsi="宋体" w:eastAsia="宋体" w:cs="宋体"/>
          <w:color w:val="auto"/>
          <w:sz w:val="24"/>
          <w:szCs w:val="24"/>
          <w:highlight w:val="none"/>
          <w:shd w:val="clear" w:color="auto" w:fill="auto"/>
          <w:lang w:eastAsia="zh-CN"/>
        </w:rPr>
        <w:t>签订</w:t>
      </w:r>
      <w:r>
        <w:rPr>
          <w:rFonts w:hint="eastAsia" w:ascii="宋体" w:hAnsi="宋体" w:eastAsia="宋体" w:cs="宋体"/>
          <w:color w:val="auto"/>
          <w:sz w:val="24"/>
          <w:szCs w:val="24"/>
          <w:highlight w:val="none"/>
          <w:shd w:val="clear" w:color="auto" w:fill="auto"/>
        </w:rPr>
        <w:t>本项目合同的通用条款，成交供应商不得提出实质性的修改。</w:t>
      </w:r>
      <w:bookmarkEnd w:id="128"/>
      <w:bookmarkEnd w:id="129"/>
      <w:bookmarkEnd w:id="130"/>
    </w:p>
    <w:p w14:paraId="3219CAC8">
      <w:pPr>
        <w:pStyle w:val="32"/>
        <w:keepNext w:val="0"/>
        <w:keepLines w:val="0"/>
        <w:pageBreakBefore w:val="0"/>
        <w:widowControl w:val="0"/>
        <w:spacing w:before="145" w:beforeAutospacing="0" w:after="145" w:afterAutospacing="0" w:line="500" w:lineRule="exact"/>
        <w:jc w:val="center"/>
        <w:rPr>
          <w:rFonts w:hint="eastAsia" w:ascii="宋体" w:hAnsi="宋体" w:eastAsia="宋体" w:cs="宋体"/>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盐城市政府采购合同（合同编号）</w:t>
      </w:r>
    </w:p>
    <w:p w14:paraId="566F2192">
      <w:pPr>
        <w:pStyle w:val="32"/>
        <w:keepNext w:val="0"/>
        <w:keepLines w:val="0"/>
        <w:pageBreakBefore w:val="0"/>
        <w:widowControl w:val="0"/>
        <w:spacing w:beforeAutospacing="0" w:afterAutospacing="0" w:line="500" w:lineRule="exact"/>
        <w:ind w:left="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项目名称：                          </w:t>
      </w:r>
    </w:p>
    <w:p w14:paraId="648F4610">
      <w:pPr>
        <w:pStyle w:val="32"/>
        <w:keepNext w:val="0"/>
        <w:keepLines w:val="0"/>
        <w:pageBreakBefore w:val="0"/>
        <w:widowControl w:val="0"/>
        <w:spacing w:beforeAutospacing="0" w:afterAutospacing="0" w:line="500" w:lineRule="exact"/>
        <w:ind w:left="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项目编号：</w:t>
      </w:r>
    </w:p>
    <w:p w14:paraId="7A8DD8E0">
      <w:pPr>
        <w:pStyle w:val="32"/>
        <w:keepNext w:val="0"/>
        <w:keepLines w:val="0"/>
        <w:pageBreakBefore w:val="0"/>
        <w:widowControl w:val="0"/>
        <w:spacing w:beforeAutospacing="0" w:afterAutospacing="0" w:line="500" w:lineRule="exact"/>
        <w:ind w:left="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甲方：（买方）_________</w:t>
      </w:r>
    </w:p>
    <w:p w14:paraId="0F710D3D">
      <w:pPr>
        <w:pStyle w:val="32"/>
        <w:keepNext w:val="0"/>
        <w:keepLines w:val="0"/>
        <w:pageBreakBefore w:val="0"/>
        <w:widowControl w:val="0"/>
        <w:spacing w:beforeAutospacing="0" w:afterAutospacing="0" w:line="500" w:lineRule="exact"/>
        <w:ind w:left="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乙方：（卖方）_________</w:t>
      </w:r>
    </w:p>
    <w:p w14:paraId="3CA8082D">
      <w:pPr>
        <w:keepNext w:val="0"/>
        <w:keepLines w:val="0"/>
        <w:pageBreakBefore w:val="0"/>
        <w:widowControl w:val="0"/>
        <w:spacing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rPr>
        <w:t>甲、乙双方根据《中华人民共和国民法典》等有关法律、法规的规定，甲方通过</w:t>
      </w:r>
      <w:r>
        <w:rPr>
          <w:rFonts w:hint="eastAsia" w:ascii="宋体" w:hAnsi="宋体" w:eastAsia="宋体" w:cs="宋体"/>
          <w:sz w:val="24"/>
          <w:szCs w:val="24"/>
          <w:lang w:val="en-US" w:eastAsia="zh-CN"/>
        </w:rPr>
        <w:t>竞争性磋商</w:t>
      </w:r>
      <w:r>
        <w:rPr>
          <w:rFonts w:hint="eastAsia" w:ascii="宋体" w:hAnsi="宋体" w:eastAsia="宋体" w:cs="宋体"/>
          <w:sz w:val="24"/>
          <w:szCs w:val="24"/>
        </w:rPr>
        <w:t>方式选聘乙方为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的供应商。在自愿、平等、诚实信用、协商一致的基础上，就本项目的有关事宜，订立本合同。</w:t>
      </w:r>
    </w:p>
    <w:p w14:paraId="011F8D6B">
      <w:pPr>
        <w:pStyle w:val="32"/>
        <w:keepNext w:val="0"/>
        <w:keepLines w:val="0"/>
        <w:pageBreakBefore w:val="0"/>
        <w:widowControl w:val="0"/>
        <w:spacing w:beforeAutospacing="0" w:afterAutospacing="0" w:line="500" w:lineRule="exact"/>
        <w:ind w:left="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一、合同内容</w:t>
      </w:r>
    </w:p>
    <w:p w14:paraId="5989CB35">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 标的名称：</w:t>
      </w:r>
    </w:p>
    <w:p w14:paraId="4D867DDA">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 标的质量：</w:t>
      </w:r>
    </w:p>
    <w:p w14:paraId="674E951F">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 标的数量（规模）：</w:t>
      </w:r>
    </w:p>
    <w:p w14:paraId="51378C84">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 履行时间（期限）：</w:t>
      </w:r>
    </w:p>
    <w:p w14:paraId="5AC66E1F">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 履行地点：</w:t>
      </w:r>
    </w:p>
    <w:p w14:paraId="057B10DE">
      <w:pPr>
        <w:pStyle w:val="32"/>
        <w:keepNext w:val="0"/>
        <w:keepLines w:val="0"/>
        <w:pageBreakBefore w:val="0"/>
        <w:widowControl w:val="0"/>
        <w:spacing w:beforeAutospacing="0" w:afterAutospacing="0" w:line="500" w:lineRule="exact"/>
        <w:ind w:left="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二、合同金额</w:t>
      </w:r>
    </w:p>
    <w:p w14:paraId="27160C08">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 本合同金额为（大写）：____________________________________圆（_______________元）人民币或其他币种。</w:t>
      </w:r>
      <w:r>
        <w:rPr>
          <w:rFonts w:hint="eastAsia" w:ascii="宋体" w:hAnsi="宋体" w:eastAsia="宋体" w:cs="宋体"/>
          <w:b/>
          <w:bCs/>
          <w:color w:val="auto"/>
          <w:highlight w:val="none"/>
          <w:lang w:val="en-US" w:eastAsia="zh-CN"/>
        </w:rPr>
        <w:t>合同价款包含：</w:t>
      </w:r>
      <w:r>
        <w:rPr>
          <w:rFonts w:hint="eastAsia" w:ascii="宋体" w:hAnsi="宋体" w:eastAsia="宋体" w:cs="宋体"/>
          <w:b/>
          <w:bCs/>
          <w:color w:val="auto"/>
          <w:sz w:val="24"/>
          <w:szCs w:val="24"/>
        </w:rPr>
        <w:t>所有</w:t>
      </w:r>
      <w:r>
        <w:rPr>
          <w:rFonts w:hint="eastAsia" w:ascii="宋体" w:hAnsi="宋体" w:eastAsia="宋体" w:cs="宋体"/>
          <w:b/>
          <w:bCs/>
          <w:color w:val="auto"/>
          <w:sz w:val="24"/>
          <w:szCs w:val="24"/>
          <w:lang w:val="en-US" w:eastAsia="zh-CN"/>
        </w:rPr>
        <w:t>人员</w:t>
      </w:r>
      <w:r>
        <w:rPr>
          <w:rFonts w:hint="eastAsia" w:ascii="宋体" w:hAnsi="宋体" w:eastAsia="宋体" w:cs="宋体"/>
          <w:b/>
          <w:bCs/>
          <w:color w:val="auto"/>
          <w:sz w:val="24"/>
          <w:szCs w:val="24"/>
        </w:rPr>
        <w:t>的工资、</w:t>
      </w:r>
      <w:r>
        <w:rPr>
          <w:rFonts w:hint="eastAsia" w:ascii="宋体" w:hAnsi="宋体" w:eastAsia="宋体" w:cs="宋体"/>
          <w:b/>
          <w:bCs/>
          <w:color w:val="auto"/>
          <w:sz w:val="24"/>
          <w:szCs w:val="24"/>
          <w:lang w:val="en-US" w:eastAsia="zh-CN"/>
        </w:rPr>
        <w:t>商业保险、</w:t>
      </w:r>
      <w:r>
        <w:rPr>
          <w:rFonts w:hint="eastAsia" w:ascii="宋体" w:hAnsi="宋体" w:eastAsia="宋体" w:cs="宋体"/>
          <w:b/>
          <w:bCs/>
          <w:color w:val="auto"/>
          <w:sz w:val="24"/>
          <w:szCs w:val="24"/>
        </w:rPr>
        <w:t>社保</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公积金、营业利润、各项税金（含开票税金）、</w:t>
      </w:r>
      <w:r>
        <w:rPr>
          <w:rFonts w:hint="eastAsia" w:ascii="宋体" w:hAnsi="宋体" w:eastAsia="宋体" w:cs="宋体"/>
          <w:b/>
          <w:bCs/>
          <w:color w:val="auto"/>
          <w:sz w:val="24"/>
          <w:szCs w:val="24"/>
          <w:lang w:val="en-US" w:eastAsia="zh-CN"/>
        </w:rPr>
        <w:t>财务费、通讯费、管理费、</w:t>
      </w:r>
      <w:r>
        <w:rPr>
          <w:rFonts w:hint="eastAsia" w:ascii="宋体" w:hAnsi="宋体" w:eastAsia="宋体" w:cs="宋体"/>
          <w:b/>
          <w:bCs/>
          <w:color w:val="auto"/>
          <w:sz w:val="24"/>
          <w:szCs w:val="24"/>
        </w:rPr>
        <w:t>国家法定假日加班费用</w:t>
      </w:r>
      <w:r>
        <w:rPr>
          <w:rFonts w:hint="eastAsia" w:ascii="宋体" w:hAnsi="宋体" w:eastAsia="宋体" w:cs="宋体"/>
          <w:b/>
          <w:bCs/>
          <w:color w:val="auto"/>
          <w:sz w:val="24"/>
          <w:szCs w:val="24"/>
          <w:lang w:val="en-US" w:eastAsia="zh-CN"/>
        </w:rPr>
        <w:t>等以及</w:t>
      </w:r>
      <w:r>
        <w:rPr>
          <w:rFonts w:hint="eastAsia" w:ascii="宋体" w:hAnsi="宋体" w:eastAsia="宋体" w:cs="宋体"/>
          <w:b/>
          <w:bCs/>
          <w:color w:val="auto"/>
          <w:sz w:val="24"/>
          <w:szCs w:val="24"/>
          <w:lang w:val="zh-CN"/>
        </w:rPr>
        <w:t>为完成招标文件规定的</w:t>
      </w:r>
      <w:r>
        <w:rPr>
          <w:rFonts w:hint="eastAsia" w:ascii="宋体" w:hAnsi="宋体" w:eastAsia="宋体" w:cs="宋体"/>
          <w:b/>
          <w:bCs/>
          <w:color w:val="auto"/>
          <w:sz w:val="24"/>
          <w:szCs w:val="24"/>
          <w:lang w:val="en-US" w:eastAsia="zh-CN"/>
        </w:rPr>
        <w:t>物业</w:t>
      </w:r>
      <w:r>
        <w:rPr>
          <w:rFonts w:hint="eastAsia" w:ascii="宋体" w:hAnsi="宋体" w:eastAsia="宋体" w:cs="宋体"/>
          <w:b/>
          <w:bCs/>
          <w:color w:val="auto"/>
          <w:sz w:val="24"/>
          <w:szCs w:val="24"/>
          <w:lang w:val="zh-CN"/>
        </w:rPr>
        <w:t>服务工作所涉及到的一切相关费用。</w:t>
      </w:r>
    </w:p>
    <w:p w14:paraId="75082C62">
      <w:pPr>
        <w:pStyle w:val="32"/>
        <w:keepNext w:val="0"/>
        <w:keepLines w:val="0"/>
        <w:pageBreakBefore w:val="0"/>
        <w:widowControl w:val="0"/>
        <w:spacing w:beforeAutospacing="0" w:afterAutospacing="0" w:line="500" w:lineRule="exact"/>
        <w:ind w:left="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三、技术资料</w:t>
      </w:r>
    </w:p>
    <w:p w14:paraId="6B52A66E">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3.1乙方应按磋商文件规定的时间向甲方提供与合同标的有关的技术资料。</w:t>
      </w:r>
    </w:p>
    <w:p w14:paraId="65034528">
      <w:pPr>
        <w:pStyle w:val="32"/>
        <w:keepNext w:val="0"/>
        <w:keepLines w:val="0"/>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BAE7EF2">
      <w:pPr>
        <w:pStyle w:val="32"/>
        <w:keepNext w:val="0"/>
        <w:keepLines w:val="0"/>
        <w:pageBreakBefore w:val="0"/>
        <w:widowControl w:val="0"/>
        <w:spacing w:beforeAutospacing="0" w:afterAutospacing="0" w:line="500" w:lineRule="exact"/>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四、知识产权</w:t>
      </w:r>
    </w:p>
    <w:p w14:paraId="343FFA55">
      <w:pPr>
        <w:pStyle w:val="32"/>
        <w:keepNext w:val="0"/>
        <w:keepLines w:val="0"/>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4.1乙方应保证甲方在使用、接受本合同标的或其任何一部分时不受第三方提出侵犯其专利权、版权、商标权和工业设计权等知识产权的起诉。一旦出现侵权，由乙方负全部责任。</w:t>
      </w:r>
    </w:p>
    <w:p w14:paraId="2287FB3A">
      <w:pPr>
        <w:pStyle w:val="32"/>
        <w:keepNext w:val="0"/>
        <w:keepLines w:val="0"/>
        <w:pageBreakBefore w:val="0"/>
        <w:widowControl w:val="0"/>
        <w:spacing w:beforeAutospacing="0" w:afterAutospacing="0" w:line="500" w:lineRule="exact"/>
        <w:ind w:left="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五、产权担保</w:t>
      </w:r>
    </w:p>
    <w:p w14:paraId="36A386DC">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5.1 乙方保证所交付的合同标的的所有权完全属于乙方且无任何抵押、查封等产权瑕疵。</w:t>
      </w:r>
    </w:p>
    <w:p w14:paraId="11A10909">
      <w:pPr>
        <w:pStyle w:val="32"/>
        <w:keepNext w:val="0"/>
        <w:keepLines w:val="0"/>
        <w:pageBreakBefore w:val="0"/>
        <w:widowControl w:val="0"/>
        <w:spacing w:beforeAutospacing="0" w:afterAutospacing="0" w:line="500" w:lineRule="exact"/>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六、履约保证金</w:t>
      </w:r>
    </w:p>
    <w:p w14:paraId="2DAB18DA">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6.1 乙方交纳人民币_________元作为本合同的履约保证金。</w:t>
      </w:r>
    </w:p>
    <w:p w14:paraId="603D3B0B">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6.</w:t>
      </w:r>
      <w:r>
        <w:rPr>
          <w:rFonts w:hint="eastAsia" w:ascii="宋体" w:hAnsi="宋体" w:eastAsia="宋体" w:cs="宋体"/>
          <w:color w:val="auto"/>
          <w:sz w:val="24"/>
          <w:szCs w:val="24"/>
          <w:highlight w:val="none"/>
          <w:shd w:val="clear" w:color="auto" w:fill="auto"/>
          <w:lang w:val="en-US" w:eastAsia="zh-CN"/>
        </w:rPr>
        <w:t>2确需收取履约保证金的，</w:t>
      </w:r>
      <w:r>
        <w:rPr>
          <w:rFonts w:hint="eastAsia" w:ascii="宋体" w:hAnsi="宋体" w:eastAsia="宋体" w:cs="宋体"/>
          <w:color w:val="auto"/>
          <w:sz w:val="24"/>
          <w:szCs w:val="24"/>
          <w:highlight w:val="none"/>
          <w:shd w:val="clear" w:color="auto" w:fill="auto"/>
          <w:lang w:eastAsia="zh-CN"/>
        </w:rPr>
        <w:t>履约保证金的缴纳形式：</w:t>
      </w:r>
    </w:p>
    <w:p w14:paraId="46167075">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6.2.1</w:t>
      </w:r>
      <w:r>
        <w:rPr>
          <w:rFonts w:hint="eastAsia" w:ascii="宋体" w:hAnsi="宋体" w:eastAsia="宋体" w:cs="宋体"/>
          <w:color w:val="auto"/>
          <w:sz w:val="24"/>
          <w:szCs w:val="24"/>
          <w:highlight w:val="none"/>
          <w:shd w:val="clear" w:color="auto" w:fill="auto"/>
        </w:rPr>
        <w:t>供应商应当以支票、汇票、本票或者金融机构、担保机构出具的保函等非现金形式提交</w:t>
      </w:r>
      <w:r>
        <w:rPr>
          <w:rFonts w:hint="eastAsia" w:ascii="宋体" w:hAnsi="宋体" w:eastAsia="宋体" w:cs="宋体"/>
          <w:color w:val="auto"/>
          <w:sz w:val="24"/>
          <w:szCs w:val="24"/>
          <w:highlight w:val="none"/>
          <w:shd w:val="clear" w:color="auto" w:fill="auto"/>
          <w:lang w:eastAsia="zh-CN"/>
        </w:rPr>
        <w:t>履约保证金</w:t>
      </w:r>
      <w:r>
        <w:rPr>
          <w:rFonts w:hint="eastAsia" w:ascii="宋体" w:hAnsi="宋体" w:eastAsia="宋体" w:cs="宋体"/>
          <w:color w:val="auto"/>
          <w:sz w:val="24"/>
          <w:szCs w:val="24"/>
          <w:highlight w:val="none"/>
          <w:shd w:val="clear" w:color="auto" w:fill="auto"/>
        </w:rPr>
        <w:t>。依据《关于在全省政府采购领域推行电子履约保函（保险）的通知》，鼓励供应商自愿使用</w:t>
      </w:r>
      <w:r>
        <w:rPr>
          <w:rFonts w:hint="eastAsia" w:ascii="宋体" w:hAnsi="宋体" w:eastAsia="宋体" w:cs="宋体"/>
          <w:color w:val="auto"/>
          <w:sz w:val="24"/>
          <w:szCs w:val="24"/>
          <w:highlight w:val="none"/>
          <w:shd w:val="clear" w:color="auto" w:fill="auto"/>
          <w:lang w:eastAsia="zh-CN"/>
        </w:rPr>
        <w:t>电子</w:t>
      </w:r>
      <w:r>
        <w:rPr>
          <w:rFonts w:hint="eastAsia" w:ascii="宋体" w:hAnsi="宋体" w:eastAsia="宋体" w:cs="宋体"/>
          <w:color w:val="auto"/>
          <w:sz w:val="24"/>
          <w:szCs w:val="24"/>
          <w:highlight w:val="none"/>
          <w:shd w:val="clear" w:color="auto" w:fill="auto"/>
        </w:rPr>
        <w:t>履约保函（保险）代替缴纳履约保证金</w:t>
      </w:r>
      <w:r>
        <w:rPr>
          <w:rFonts w:hint="eastAsia" w:ascii="宋体" w:hAnsi="宋体" w:eastAsia="宋体" w:cs="宋体"/>
          <w:color w:val="auto"/>
          <w:sz w:val="24"/>
          <w:szCs w:val="24"/>
          <w:highlight w:val="none"/>
          <w:shd w:val="clear" w:color="auto" w:fill="auto"/>
          <w:lang w:eastAsia="zh-CN"/>
        </w:rPr>
        <w:t>。</w:t>
      </w:r>
    </w:p>
    <w:p w14:paraId="317A7C1C">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6.2.2 如以履约保函（保险）形式缴纳履约保证金，供应商可通过政府采购电子履约保函（保险）平台（www.jsdzbh.com）在线申请履约保函（保险）。</w:t>
      </w:r>
    </w:p>
    <w:p w14:paraId="582F068F">
      <w:pPr>
        <w:pStyle w:val="32"/>
        <w:keepNext w:val="0"/>
        <w:keepLines w:val="0"/>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合同履行结束后，甲方应及时退还交纳的履约保证金。</w:t>
      </w:r>
    </w:p>
    <w:p w14:paraId="409F145B">
      <w:pPr>
        <w:keepNext w:val="0"/>
        <w:keepLines w:val="0"/>
        <w:pageBreakBefore w:val="0"/>
        <w:widowControl w:val="0"/>
        <w:spacing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履约保证金的退还：</w:t>
      </w:r>
    </w:p>
    <w:p w14:paraId="750B91BB">
      <w:pPr>
        <w:keepNext w:val="0"/>
        <w:keepLines w:val="0"/>
        <w:pageBreakBefore w:val="0"/>
        <w:widowControl w:val="0"/>
        <w:spacing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.1方式：退还至</w:t>
      </w:r>
      <w:r>
        <w:rPr>
          <w:rFonts w:hint="eastAsia" w:ascii="宋体" w:hAnsi="宋体" w:eastAsia="宋体" w:cs="宋体"/>
          <w:color w:val="auto"/>
          <w:sz w:val="24"/>
          <w:szCs w:val="24"/>
          <w:highlight w:val="none"/>
          <w:shd w:val="clear" w:color="auto" w:fill="auto"/>
          <w:lang w:eastAsia="zh-CN"/>
        </w:rPr>
        <w:t>供应商</w:t>
      </w:r>
      <w:r>
        <w:rPr>
          <w:rFonts w:hint="eastAsia" w:ascii="宋体" w:hAnsi="宋体" w:eastAsia="宋体" w:cs="宋体"/>
          <w:color w:val="auto"/>
          <w:sz w:val="24"/>
          <w:szCs w:val="24"/>
          <w:highlight w:val="none"/>
          <w:shd w:val="clear" w:color="auto" w:fill="auto"/>
        </w:rPr>
        <w:t>缴纳履约保证金的账户。如为保函，在到期时自行失效。</w:t>
      </w:r>
    </w:p>
    <w:p w14:paraId="79DF6638">
      <w:pPr>
        <w:keepNext w:val="0"/>
        <w:keepLines w:val="0"/>
        <w:pageBreakBefore w:val="0"/>
        <w:widowControl w:val="0"/>
        <w:spacing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.2时间：验收合格且采购人收到发票后30日内。</w:t>
      </w:r>
    </w:p>
    <w:p w14:paraId="4D0B232B">
      <w:pPr>
        <w:keepNext w:val="0"/>
        <w:keepLines w:val="0"/>
        <w:pageBreakBefore w:val="0"/>
        <w:widowControl w:val="0"/>
        <w:spacing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.3条件：按合同要求全部履约完成并经采购人验收合格，且采购人收到中标人出具的发票。</w:t>
      </w:r>
    </w:p>
    <w:p w14:paraId="5CD68687">
      <w:pPr>
        <w:keepNext w:val="0"/>
        <w:keepLines w:val="0"/>
        <w:pageBreakBefore w:val="0"/>
        <w:widowControl w:val="0"/>
        <w:spacing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.4不予退还情形：</w:t>
      </w:r>
    </w:p>
    <w:p w14:paraId="0B71BA2C">
      <w:pPr>
        <w:keepNext w:val="0"/>
        <w:keepLines w:val="0"/>
        <w:pageBreakBefore w:val="0"/>
        <w:widowControl w:val="0"/>
        <w:spacing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除不可抗力情况外，</w:t>
      </w:r>
      <w:r>
        <w:rPr>
          <w:rFonts w:hint="eastAsia" w:ascii="宋体" w:hAnsi="宋体" w:eastAsia="宋体" w:cs="宋体"/>
          <w:color w:val="auto"/>
          <w:sz w:val="24"/>
          <w:szCs w:val="24"/>
          <w:highlight w:val="none"/>
          <w:shd w:val="clear" w:color="auto" w:fill="auto"/>
          <w:lang w:eastAsia="zh-CN"/>
        </w:rPr>
        <w:t>供应商</w:t>
      </w:r>
      <w:r>
        <w:rPr>
          <w:rFonts w:hint="eastAsia" w:ascii="宋体" w:hAnsi="宋体" w:eastAsia="宋体" w:cs="宋体"/>
          <w:color w:val="auto"/>
          <w:sz w:val="24"/>
          <w:szCs w:val="24"/>
          <w:highlight w:val="none"/>
          <w:shd w:val="clear" w:color="auto" w:fill="auto"/>
        </w:rPr>
        <w:t>出现下列情形之一的，其履约保证金，招标人将视情节决定不予退还或部分不予退还。</w:t>
      </w:r>
    </w:p>
    <w:p w14:paraId="073C733B">
      <w:pPr>
        <w:keepNext w:val="0"/>
        <w:keepLines w:val="0"/>
        <w:pageBreakBefore w:val="0"/>
        <w:widowControl w:val="0"/>
        <w:spacing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（1）中标人无正当理由拒绝签订合同的，或者在签订合同时向采购人提出附加条件或者更改合同实质性内容要求的；</w:t>
      </w:r>
    </w:p>
    <w:p w14:paraId="20A24334">
      <w:pPr>
        <w:keepNext w:val="0"/>
        <w:keepLines w:val="0"/>
        <w:pageBreakBefore w:val="0"/>
        <w:widowControl w:val="0"/>
        <w:spacing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（2）中标人不履行与采购人订立的合同的；</w:t>
      </w:r>
    </w:p>
    <w:p w14:paraId="7634FD42">
      <w:pPr>
        <w:keepNext w:val="0"/>
        <w:keepLines w:val="0"/>
        <w:pageBreakBefore w:val="0"/>
        <w:widowControl w:val="0"/>
        <w:spacing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（3）中标人所供货物或服务不符合</w:t>
      </w:r>
      <w:r>
        <w:rPr>
          <w:rFonts w:hint="eastAsia" w:ascii="宋体" w:hAnsi="宋体" w:eastAsia="宋体" w:cs="宋体"/>
          <w:color w:val="auto"/>
          <w:sz w:val="24"/>
          <w:szCs w:val="24"/>
          <w:highlight w:val="none"/>
          <w:shd w:val="clear" w:color="auto" w:fill="auto"/>
          <w:lang w:val="en-US" w:eastAsia="zh-CN"/>
        </w:rPr>
        <w:t>响应</w:t>
      </w:r>
      <w:r>
        <w:rPr>
          <w:rFonts w:hint="eastAsia" w:ascii="宋体" w:hAnsi="宋体" w:eastAsia="宋体" w:cs="宋体"/>
          <w:color w:val="auto"/>
          <w:sz w:val="24"/>
          <w:szCs w:val="24"/>
          <w:highlight w:val="none"/>
          <w:shd w:val="clear" w:color="auto" w:fill="auto"/>
        </w:rPr>
        <w:t>文件规定要求的；</w:t>
      </w:r>
    </w:p>
    <w:p w14:paraId="58ED11DD">
      <w:pPr>
        <w:keepNext w:val="0"/>
        <w:keepLines w:val="0"/>
        <w:pageBreakBefore w:val="0"/>
        <w:widowControl w:val="0"/>
        <w:spacing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（4）中标人采取欺骗、弄虚作假方式投标的或与</w:t>
      </w:r>
      <w:r>
        <w:rPr>
          <w:rFonts w:hint="eastAsia" w:ascii="宋体" w:hAnsi="宋体" w:eastAsia="宋体" w:cs="宋体"/>
          <w:color w:val="auto"/>
          <w:sz w:val="24"/>
          <w:szCs w:val="24"/>
          <w:highlight w:val="none"/>
          <w:shd w:val="clear" w:color="auto" w:fill="auto"/>
          <w:lang w:eastAsia="zh-CN"/>
        </w:rPr>
        <w:t>其他供应商</w:t>
      </w:r>
      <w:r>
        <w:rPr>
          <w:rFonts w:hint="eastAsia" w:ascii="宋体" w:hAnsi="宋体" w:eastAsia="宋体" w:cs="宋体"/>
          <w:color w:val="auto"/>
          <w:sz w:val="24"/>
          <w:szCs w:val="24"/>
          <w:highlight w:val="none"/>
          <w:shd w:val="clear" w:color="auto" w:fill="auto"/>
        </w:rPr>
        <w:t>串通投标的；</w:t>
      </w:r>
    </w:p>
    <w:p w14:paraId="3D7D5BC7">
      <w:pPr>
        <w:keepNext w:val="0"/>
        <w:keepLines w:val="0"/>
        <w:pageBreakBefore w:val="0"/>
        <w:widowControl w:val="0"/>
        <w:spacing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（5）中标人将合同内容转包、违法分包的；</w:t>
      </w:r>
    </w:p>
    <w:p w14:paraId="107DB92D">
      <w:pPr>
        <w:keepNext w:val="0"/>
        <w:keepLines w:val="0"/>
        <w:pageBreakBefore w:val="0"/>
        <w:widowControl w:val="0"/>
        <w:spacing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（6）中标人故意捏造事实或伪造证明材料，进行虚假恶意投诉或反映的。</w:t>
      </w:r>
    </w:p>
    <w:p w14:paraId="481F4E5C">
      <w:pPr>
        <w:keepNext w:val="0"/>
        <w:keepLines w:val="0"/>
        <w:pageBreakBefore w:val="0"/>
        <w:widowControl w:val="0"/>
        <w:spacing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.5逾期退还的违约责任：采购人逾期无故未退还履约保证金的，按中国人民银行同期贷款基准利率上浮20%后的利率支付超期资金占用费，但因供应商自身原因导致无法及时退还的除外。</w:t>
      </w:r>
    </w:p>
    <w:p w14:paraId="0F32B3A4">
      <w:pPr>
        <w:pStyle w:val="32"/>
        <w:keepNext w:val="0"/>
        <w:keepLines w:val="0"/>
        <w:pageBreakBefore w:val="0"/>
        <w:widowControl w:val="0"/>
        <w:spacing w:beforeAutospacing="0" w:afterAutospacing="0" w:line="500" w:lineRule="exact"/>
        <w:ind w:left="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七、合同转包或分包</w:t>
      </w:r>
    </w:p>
    <w:p w14:paraId="491B70DD">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7.1乙方不得将合同标的转包给他人履行。</w:t>
      </w:r>
    </w:p>
    <w:p w14:paraId="6EDAC617">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7.2乙方不得将合同标的分包给他人履行。</w:t>
      </w:r>
    </w:p>
    <w:p w14:paraId="588E75A5">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7.3乙方如有转包或未经甲方同意的分包行为，甲方有权解除合同。</w:t>
      </w:r>
    </w:p>
    <w:p w14:paraId="081DA6CC">
      <w:pPr>
        <w:pStyle w:val="32"/>
        <w:keepNext w:val="0"/>
        <w:keepLines w:val="0"/>
        <w:pageBreakBefore w:val="0"/>
        <w:widowControl w:val="0"/>
        <w:spacing w:beforeAutospacing="0" w:afterAutospacing="0" w:line="500" w:lineRule="exact"/>
        <w:ind w:left="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八、合同款项支付</w:t>
      </w:r>
    </w:p>
    <w:p w14:paraId="0429279B">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8.1合同款项的支付方式及进度安排</w:t>
      </w:r>
    </w:p>
    <w:p w14:paraId="0AB615E5">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8.1.1 预付款支付时间：合同签订后</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采购人收到</w:t>
      </w:r>
      <w:r>
        <w:rPr>
          <w:rFonts w:hint="eastAsia" w:ascii="宋体" w:hAnsi="宋体" w:eastAsia="宋体" w:cs="宋体"/>
          <w:color w:val="auto"/>
          <w:sz w:val="24"/>
          <w:szCs w:val="24"/>
          <w:highlight w:val="none"/>
          <w:shd w:val="clear" w:color="auto" w:fill="auto"/>
          <w:lang w:eastAsia="zh-CN"/>
        </w:rPr>
        <w:t>预付款</w:t>
      </w:r>
      <w:r>
        <w:rPr>
          <w:rFonts w:hint="eastAsia" w:ascii="宋体" w:hAnsi="宋体" w:eastAsia="宋体" w:cs="宋体"/>
          <w:color w:val="auto"/>
          <w:sz w:val="24"/>
          <w:szCs w:val="24"/>
          <w:highlight w:val="none"/>
          <w:shd w:val="clear" w:color="auto" w:fill="auto"/>
        </w:rPr>
        <w:t>发票后10个工作日内，预付款支付比例：</w:t>
      </w:r>
      <w:r>
        <w:rPr>
          <w:rFonts w:hint="eastAsia" w:ascii="宋体" w:hAnsi="宋体" w:eastAsia="宋体" w:cs="宋体"/>
          <w:color w:val="auto"/>
          <w:sz w:val="24"/>
          <w:szCs w:val="24"/>
          <w:highlight w:val="none"/>
          <w:u w:val="none"/>
          <w:shd w:val="clear" w:color="auto" w:fill="auto"/>
        </w:rPr>
        <w:t>合同金额的</w:t>
      </w:r>
      <w:r>
        <w:rPr>
          <w:rFonts w:hint="eastAsia" w:ascii="宋体" w:hAnsi="宋体" w:eastAsia="宋体" w:cs="宋体"/>
          <w:color w:val="auto"/>
          <w:sz w:val="24"/>
          <w:szCs w:val="24"/>
          <w:highlight w:val="none"/>
          <w:u w:val="none"/>
          <w:shd w:val="clear" w:color="auto" w:fill="auto"/>
          <w:lang w:val="en-US" w:eastAsia="zh-CN"/>
        </w:rPr>
        <w:t>30</w:t>
      </w:r>
      <w:r>
        <w:rPr>
          <w:rFonts w:hint="eastAsia" w:ascii="宋体" w:hAnsi="宋体" w:eastAsia="宋体" w:cs="宋体"/>
          <w:color w:val="auto"/>
          <w:sz w:val="24"/>
          <w:szCs w:val="24"/>
          <w:highlight w:val="none"/>
          <w:u w:val="none"/>
          <w:shd w:val="clear" w:color="auto" w:fill="auto"/>
        </w:rPr>
        <w:t>%</w:t>
      </w:r>
      <w:r>
        <w:rPr>
          <w:rFonts w:hint="eastAsia" w:ascii="宋体" w:hAnsi="宋体" w:eastAsia="宋体" w:cs="宋体"/>
          <w:color w:val="auto"/>
          <w:sz w:val="24"/>
          <w:szCs w:val="24"/>
          <w:highlight w:val="none"/>
          <w:shd w:val="clear" w:color="auto" w:fill="auto"/>
        </w:rPr>
        <w:t>。</w:t>
      </w:r>
    </w:p>
    <w:p w14:paraId="070D1CBE">
      <w:pPr>
        <w:keepNext w:val="0"/>
        <w:keepLines w:val="0"/>
        <w:pageBreakBefore w:val="0"/>
        <w:widowControl/>
        <w:shd w:val="clear" w:color="auto" w:fill="FFFFFF"/>
        <w:spacing w:line="500" w:lineRule="exact"/>
        <w:ind w:left="0" w:right="0" w:firstLine="480"/>
        <w:jc w:val="left"/>
        <w:rPr>
          <w:rFonts w:hint="eastAsia" w:ascii="宋体" w:hAnsi="宋体" w:eastAsia="宋体" w:cs="宋体"/>
          <w:color w:val="auto"/>
          <w:sz w:val="24"/>
          <w:highlight w:val="none"/>
          <w:lang w:val="zh-CN" w:eastAsia="zh-CN"/>
        </w:rPr>
      </w:pPr>
      <w:r>
        <w:rPr>
          <w:rFonts w:hint="eastAsia" w:ascii="宋体" w:hAnsi="宋体" w:eastAsia="宋体" w:cs="宋体"/>
          <w:color w:val="auto"/>
          <w:sz w:val="24"/>
          <w:szCs w:val="24"/>
          <w:highlight w:val="none"/>
          <w:shd w:val="clear" w:color="auto" w:fill="auto"/>
        </w:rPr>
        <w:t>8.1.2 尾款支付时间</w:t>
      </w:r>
      <w:r>
        <w:rPr>
          <w:rFonts w:hint="eastAsia" w:ascii="宋体" w:hAnsi="宋体" w:cs="宋体"/>
          <w:color w:val="auto"/>
          <w:sz w:val="24"/>
          <w:highlight w:val="none"/>
        </w:rPr>
        <w:t>：服务标准达到招标人要</w:t>
      </w:r>
      <w:r>
        <w:rPr>
          <w:rFonts w:hint="eastAsia" w:ascii="宋体" w:hAnsi="宋体" w:eastAsia="宋体" w:cs="宋体"/>
          <w:color w:val="auto"/>
          <w:sz w:val="24"/>
          <w:highlight w:val="none"/>
          <w:lang w:eastAsia="zh-CN"/>
        </w:rPr>
        <w:t>求，满</w:t>
      </w:r>
      <w:r>
        <w:rPr>
          <w:rFonts w:hint="eastAsia" w:ascii="宋体" w:hAnsi="宋体" w:eastAsia="宋体" w:cs="宋体"/>
          <w:color w:val="auto"/>
          <w:sz w:val="24"/>
          <w:highlight w:val="none"/>
          <w:lang w:val="en-US" w:eastAsia="zh-CN"/>
        </w:rPr>
        <w:t>6个月的次月</w:t>
      </w:r>
      <w:r>
        <w:rPr>
          <w:rFonts w:hint="eastAsia" w:ascii="宋体" w:hAnsi="宋体" w:cs="宋体"/>
          <w:color w:val="auto"/>
          <w:sz w:val="24"/>
          <w:highlight w:val="none"/>
        </w:rPr>
        <w:t>支付半年的物</w:t>
      </w:r>
      <w:r>
        <w:rPr>
          <w:rFonts w:hint="eastAsia" w:ascii="宋体" w:hAnsi="宋体" w:eastAsia="宋体" w:cs="宋体"/>
          <w:color w:val="auto"/>
          <w:sz w:val="24"/>
          <w:highlight w:val="none"/>
          <w:lang w:eastAsia="zh-CN"/>
        </w:rPr>
        <w:t>业服务费用，须提供财务部门提供的增值税发票。</w:t>
      </w:r>
    </w:p>
    <w:p w14:paraId="60C3C1CA">
      <w:pPr>
        <w:keepNext w:val="0"/>
        <w:keepLines w:val="0"/>
        <w:pageBreakBefore w:val="0"/>
        <w:widowControl w:val="0"/>
        <w:spacing w:line="500" w:lineRule="exact"/>
        <w:ind w:left="0" w:right="0" w:firstLine="480"/>
        <w:rPr>
          <w:rFonts w:hint="eastAsia" w:ascii="宋体" w:hAnsi="宋体" w:cs="宋体"/>
          <w:color w:val="auto"/>
          <w:sz w:val="24"/>
          <w:highlight w:val="none"/>
          <w:lang w:val="zh-CN"/>
        </w:rPr>
      </w:pPr>
      <w:r>
        <w:rPr>
          <w:rFonts w:hint="eastAsia" w:ascii="宋体" w:hAnsi="宋体" w:eastAsia="宋体" w:cs="宋体"/>
          <w:b w:val="0"/>
          <w:bCs/>
          <w:color w:val="auto"/>
          <w:sz w:val="24"/>
          <w:highlight w:val="none"/>
        </w:rPr>
        <w:t>注：在签订合同时，中标人明确表示无需预付款或者主动要求降低预付款比例的金额，</w:t>
      </w:r>
      <w:r>
        <w:rPr>
          <w:rFonts w:hint="eastAsia" w:ascii="宋体" w:hAnsi="宋体" w:eastAsia="宋体" w:cs="宋体"/>
          <w:b w:val="0"/>
          <w:bCs/>
          <w:color w:val="auto"/>
          <w:sz w:val="24"/>
          <w:highlight w:val="none"/>
          <w:lang w:val="en-US" w:eastAsia="zh-CN"/>
        </w:rPr>
        <w:t>采购人</w:t>
      </w:r>
      <w:r>
        <w:rPr>
          <w:rFonts w:hint="eastAsia" w:ascii="宋体" w:hAnsi="宋体" w:eastAsia="宋体" w:cs="宋体"/>
          <w:b w:val="0"/>
          <w:bCs/>
          <w:color w:val="auto"/>
          <w:sz w:val="24"/>
          <w:highlight w:val="none"/>
        </w:rPr>
        <w:t>可不适用预付款规定,但中标人需提供书面声明，采购人可就预付款比例</w:t>
      </w:r>
      <w:r>
        <w:rPr>
          <w:rFonts w:hint="eastAsia" w:ascii="宋体" w:hAnsi="宋体" w:cs="宋体"/>
          <w:color w:val="auto"/>
          <w:sz w:val="24"/>
          <w:highlight w:val="none"/>
          <w:lang w:val="zh-CN"/>
        </w:rPr>
        <w:t>作相应调整。</w:t>
      </w:r>
    </w:p>
    <w:p w14:paraId="436E1954">
      <w:pPr>
        <w:pStyle w:val="32"/>
        <w:keepNext w:val="0"/>
        <w:keepLines w:val="0"/>
        <w:pageBreakBefore w:val="0"/>
        <w:widowControl w:val="0"/>
        <w:spacing w:beforeAutospacing="0" w:afterAutospacing="0" w:line="500" w:lineRule="exact"/>
        <w:ind w:left="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九、税费</w:t>
      </w:r>
    </w:p>
    <w:p w14:paraId="2A770BD5">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9.1本合同执行中相关的一切税费均由乙方负担。</w:t>
      </w:r>
    </w:p>
    <w:p w14:paraId="034ED2C6">
      <w:pPr>
        <w:pStyle w:val="32"/>
        <w:keepNext w:val="0"/>
        <w:keepLines w:val="0"/>
        <w:pageBreakBefore w:val="0"/>
        <w:widowControl w:val="0"/>
        <w:spacing w:beforeAutospacing="0" w:afterAutospacing="0" w:line="500" w:lineRule="exact"/>
        <w:ind w:left="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十、项目验收</w:t>
      </w:r>
    </w:p>
    <w:p w14:paraId="55E09A36">
      <w:pPr>
        <w:pStyle w:val="32"/>
        <w:keepNext w:val="0"/>
        <w:keepLines w:val="0"/>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10.1 甲方依法组织履约验收工作。</w:t>
      </w:r>
    </w:p>
    <w:p w14:paraId="6B182BE4">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05C7BB4">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10.3 对于实际使用人和甲方分离的项目，甲方邀请实际使用人参与验收。</w:t>
      </w:r>
    </w:p>
    <w:p w14:paraId="253A199A">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10.4 如有必要，甲方邀请参加本项目的其他供应商或第三方专业机构及专家参与验收，相关意见将作为验收书的参考资料。</w:t>
      </w:r>
    </w:p>
    <w:p w14:paraId="001A95F3">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C87B0C9">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4"/>
          <w:highlight w:val="none"/>
          <w:shd w:val="clear" w:color="auto" w:fill="auto"/>
          <w:lang w:val="en-US" w:eastAsia="zh-CN"/>
        </w:rPr>
        <w:t>中华人民共和国</w:t>
      </w:r>
      <w:r>
        <w:rPr>
          <w:rFonts w:hint="eastAsia" w:ascii="宋体" w:hAnsi="宋体" w:eastAsia="宋体" w:cs="宋体"/>
          <w:color w:val="auto"/>
          <w:sz w:val="24"/>
          <w:szCs w:val="24"/>
          <w:highlight w:val="none"/>
          <w:shd w:val="clear" w:color="auto" w:fill="auto"/>
        </w:rPr>
        <w:t>民法典》。乙方在履约过程中有政府采购法律法规规定的违法违规情形的,甲方将及时报告本级财政部门。</w:t>
      </w:r>
    </w:p>
    <w:p w14:paraId="616ACB59">
      <w:pPr>
        <w:pStyle w:val="32"/>
        <w:keepNext w:val="0"/>
        <w:keepLines w:val="0"/>
        <w:pageBreakBefore w:val="0"/>
        <w:widowControl w:val="0"/>
        <w:spacing w:beforeAutospacing="0" w:afterAutospacing="0" w:line="500" w:lineRule="exact"/>
        <w:ind w:left="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w:t>
      </w:r>
      <w:r>
        <w:rPr>
          <w:rFonts w:hint="eastAsia" w:ascii="宋体" w:hAnsi="宋体" w:eastAsia="宋体" w:cs="宋体"/>
          <w:b/>
          <w:color w:val="auto"/>
          <w:sz w:val="24"/>
          <w:szCs w:val="24"/>
          <w:highlight w:val="none"/>
          <w:shd w:val="clear" w:color="auto" w:fill="auto"/>
          <w:lang w:val="en-US" w:eastAsia="zh-CN"/>
        </w:rPr>
        <w:t>一</w:t>
      </w:r>
      <w:r>
        <w:rPr>
          <w:rFonts w:hint="eastAsia" w:ascii="宋体" w:hAnsi="宋体" w:eastAsia="宋体" w:cs="宋体"/>
          <w:b/>
          <w:color w:val="auto"/>
          <w:sz w:val="24"/>
          <w:szCs w:val="24"/>
          <w:highlight w:val="none"/>
          <w:shd w:val="clear" w:color="auto" w:fill="auto"/>
        </w:rPr>
        <w:t>、违约责任</w:t>
      </w:r>
    </w:p>
    <w:p w14:paraId="5ADA0333">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11.1甲方无正当理由拒绝接受乙方提供的合同标的的，甲方向乙方偿付拒绝接受合同价款总值</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的违约金。</w:t>
      </w:r>
    </w:p>
    <w:p w14:paraId="10D54A15">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11.2 甲方无故逾期验收和办理合同款项支付手续的,甲方应按逾期付款总额</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每日向乙方支付违约金。</w:t>
      </w:r>
    </w:p>
    <w:p w14:paraId="6E12936F">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的违约金，如造成甲方损失超过违约金的，超出部分由乙方继续承担赔偿责任。 </w:t>
      </w:r>
    </w:p>
    <w:p w14:paraId="17EA9673">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11.4 乙方交付合同标的的标准不符合合同规定及磋商文件规定标准的，甲方有权拒绝接受合同标的，并可单方面解除合同。</w:t>
      </w:r>
    </w:p>
    <w:p w14:paraId="329C6F0A">
      <w:pPr>
        <w:pStyle w:val="32"/>
        <w:keepNext w:val="0"/>
        <w:keepLines w:val="0"/>
        <w:pageBreakBefore w:val="0"/>
        <w:widowControl w:val="0"/>
        <w:spacing w:beforeAutospacing="0" w:afterAutospacing="0" w:line="500" w:lineRule="exact"/>
        <w:ind w:left="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w:t>
      </w:r>
      <w:r>
        <w:rPr>
          <w:rFonts w:hint="eastAsia" w:ascii="宋体" w:hAnsi="宋体" w:eastAsia="宋体" w:cs="宋体"/>
          <w:b/>
          <w:color w:val="auto"/>
          <w:sz w:val="24"/>
          <w:szCs w:val="24"/>
          <w:highlight w:val="none"/>
          <w:shd w:val="clear" w:color="auto" w:fill="auto"/>
          <w:lang w:val="en-US" w:eastAsia="zh-CN"/>
        </w:rPr>
        <w:t>二</w:t>
      </w:r>
      <w:r>
        <w:rPr>
          <w:rFonts w:hint="eastAsia" w:ascii="宋体" w:hAnsi="宋体" w:eastAsia="宋体" w:cs="宋体"/>
          <w:b/>
          <w:color w:val="auto"/>
          <w:sz w:val="24"/>
          <w:szCs w:val="24"/>
          <w:highlight w:val="none"/>
          <w:shd w:val="clear" w:color="auto" w:fill="auto"/>
        </w:rPr>
        <w:t>、不可抗力事件处理</w:t>
      </w:r>
    </w:p>
    <w:p w14:paraId="20796C54">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12.1 在合同有效期内，任何一方因不可抗力事件导致不能履行合同，则合同履行期可延长，其延长期与不可抗力影响 期相同。</w:t>
      </w:r>
    </w:p>
    <w:p w14:paraId="7FD1BB31">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12.2 不可抗力事件发生后，应立即通知对方，并寄送有关权威机构出具的证明。</w:t>
      </w:r>
    </w:p>
    <w:p w14:paraId="40FDA188">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12.3 不可抗力事件延续120天以上，双方应通过友好协商，确定是否继续履行合同。</w:t>
      </w:r>
    </w:p>
    <w:p w14:paraId="4E17AA6E">
      <w:pPr>
        <w:pStyle w:val="32"/>
        <w:keepNext w:val="0"/>
        <w:keepLines w:val="0"/>
        <w:pageBreakBefore w:val="0"/>
        <w:widowControl w:val="0"/>
        <w:spacing w:beforeAutospacing="0" w:afterAutospacing="0" w:line="500" w:lineRule="exact"/>
        <w:ind w:left="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w:t>
      </w:r>
      <w:r>
        <w:rPr>
          <w:rFonts w:hint="eastAsia" w:ascii="宋体" w:hAnsi="宋体" w:eastAsia="宋体" w:cs="宋体"/>
          <w:b/>
          <w:color w:val="auto"/>
          <w:sz w:val="24"/>
          <w:szCs w:val="24"/>
          <w:highlight w:val="none"/>
          <w:shd w:val="clear" w:color="auto" w:fill="auto"/>
          <w:lang w:val="en-US" w:eastAsia="zh-CN"/>
        </w:rPr>
        <w:t>三</w:t>
      </w:r>
      <w:r>
        <w:rPr>
          <w:rFonts w:hint="eastAsia" w:ascii="宋体" w:hAnsi="宋体" w:eastAsia="宋体" w:cs="宋体"/>
          <w:b/>
          <w:color w:val="auto"/>
          <w:sz w:val="24"/>
          <w:szCs w:val="24"/>
          <w:highlight w:val="none"/>
          <w:shd w:val="clear" w:color="auto" w:fill="auto"/>
        </w:rPr>
        <w:t>、解决争议的方法</w:t>
      </w:r>
    </w:p>
    <w:p w14:paraId="0D6C1114">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13.1双方在签订、履行合同中所发生的一切争议，应通过友好协商解决。如协商不成，由甲方住所地人民法院管辖。</w:t>
      </w:r>
    </w:p>
    <w:p w14:paraId="47DEBDC7">
      <w:pPr>
        <w:pStyle w:val="32"/>
        <w:keepNext w:val="0"/>
        <w:keepLines w:val="0"/>
        <w:pageBreakBefore w:val="0"/>
        <w:widowControl w:val="0"/>
        <w:spacing w:beforeAutospacing="0" w:afterAutospacing="0" w:line="500" w:lineRule="exact"/>
        <w:ind w:left="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w:t>
      </w:r>
      <w:r>
        <w:rPr>
          <w:rFonts w:hint="eastAsia" w:ascii="宋体" w:hAnsi="宋体" w:eastAsia="宋体" w:cs="宋体"/>
          <w:b/>
          <w:color w:val="auto"/>
          <w:sz w:val="24"/>
          <w:szCs w:val="24"/>
          <w:highlight w:val="none"/>
          <w:shd w:val="clear" w:color="auto" w:fill="auto"/>
          <w:lang w:val="en-US" w:eastAsia="zh-CN"/>
        </w:rPr>
        <w:t>四</w:t>
      </w:r>
      <w:r>
        <w:rPr>
          <w:rFonts w:hint="eastAsia" w:ascii="宋体" w:hAnsi="宋体" w:eastAsia="宋体" w:cs="宋体"/>
          <w:b/>
          <w:color w:val="auto"/>
          <w:sz w:val="24"/>
          <w:szCs w:val="24"/>
          <w:highlight w:val="none"/>
          <w:shd w:val="clear" w:color="auto" w:fill="auto"/>
        </w:rPr>
        <w:t>、合同生效及其</w:t>
      </w:r>
      <w:r>
        <w:rPr>
          <w:rFonts w:hint="eastAsia" w:ascii="宋体" w:hAnsi="宋体" w:eastAsia="宋体" w:cs="宋体"/>
          <w:b/>
          <w:color w:val="auto"/>
          <w:sz w:val="24"/>
          <w:szCs w:val="24"/>
          <w:highlight w:val="none"/>
          <w:shd w:val="clear" w:color="auto" w:fill="auto"/>
          <w:lang w:eastAsia="zh-CN"/>
        </w:rPr>
        <w:t>他</w:t>
      </w:r>
    </w:p>
    <w:p w14:paraId="12C296B0">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14.1 合同经双方法定代表人或授权委托代表人签字并加盖单位公章后生效。</w:t>
      </w:r>
    </w:p>
    <w:p w14:paraId="58C30D1C">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14.2本合同未尽事宜，遵照</w:t>
      </w:r>
      <w:r>
        <w:rPr>
          <w:rFonts w:hint="eastAsia" w:ascii="宋体" w:hAnsi="宋体" w:eastAsia="宋体" w:cs="宋体"/>
          <w:color w:val="auto"/>
          <w:highlight w:val="none"/>
          <w:shd w:val="clear" w:color="auto" w:fill="auto"/>
        </w:rPr>
        <w:t>《</w:t>
      </w:r>
      <w:r>
        <w:rPr>
          <w:rFonts w:hint="eastAsia" w:ascii="宋体" w:hAnsi="宋体" w:eastAsia="宋体" w:cs="宋体"/>
          <w:color w:val="auto"/>
          <w:highlight w:val="none"/>
          <w:shd w:val="clear" w:color="auto" w:fill="auto"/>
          <w:lang w:val="en-US" w:eastAsia="zh-CN"/>
        </w:rPr>
        <w:t>中华人民共和国</w:t>
      </w:r>
      <w:r>
        <w:rPr>
          <w:rFonts w:hint="eastAsia" w:ascii="宋体" w:hAnsi="宋体" w:eastAsia="宋体" w:cs="宋体"/>
          <w:color w:val="auto"/>
          <w:sz w:val="24"/>
          <w:szCs w:val="24"/>
          <w:highlight w:val="none"/>
          <w:shd w:val="clear" w:color="auto" w:fill="auto"/>
        </w:rPr>
        <w:t>民法典</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highlight w:val="none"/>
          <w:shd w:val="clear" w:color="auto" w:fill="auto"/>
        </w:rPr>
        <w:t>《</w:t>
      </w:r>
      <w:r>
        <w:rPr>
          <w:rFonts w:hint="eastAsia" w:ascii="宋体" w:hAnsi="宋体" w:eastAsia="宋体" w:cs="宋体"/>
          <w:color w:val="auto"/>
          <w:highlight w:val="none"/>
          <w:shd w:val="clear" w:color="auto" w:fill="auto"/>
          <w:lang w:val="en-US" w:eastAsia="zh-CN"/>
        </w:rPr>
        <w:t>中华人民共和国</w:t>
      </w:r>
      <w:r>
        <w:rPr>
          <w:rFonts w:hint="eastAsia" w:ascii="宋体" w:hAnsi="宋体" w:eastAsia="宋体" w:cs="宋体"/>
          <w:color w:val="auto"/>
          <w:sz w:val="24"/>
          <w:szCs w:val="24"/>
          <w:highlight w:val="none"/>
          <w:shd w:val="clear" w:color="auto" w:fill="auto"/>
        </w:rPr>
        <w:t>政府采购法》有关条文执行。</w:t>
      </w:r>
    </w:p>
    <w:p w14:paraId="4E706A21">
      <w:pPr>
        <w:pStyle w:val="32"/>
        <w:keepNext w:val="0"/>
        <w:keepLines w:val="0"/>
        <w:pageBreakBefore w:val="0"/>
        <w:widowControl w:val="0"/>
        <w:spacing w:beforeAutospacing="0" w:afterAutospacing="0" w:line="5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14.3 本合同正本一式三份，具有同等法律效力，甲方、乙方及财政监管部门各执一份。</w:t>
      </w:r>
    </w:p>
    <w:p w14:paraId="69471EDC">
      <w:pPr>
        <w:pStyle w:val="32"/>
        <w:keepNext w:val="0"/>
        <w:keepLines w:val="0"/>
        <w:pageBreakBefore w:val="0"/>
        <w:widowControl w:val="0"/>
        <w:spacing w:before="120" w:beforeAutospacing="0" w:after="120" w:afterAutospacing="0" w:line="520" w:lineRule="atLeast"/>
        <w:ind w:left="480" w:hanging="480"/>
        <w:jc w:val="both"/>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甲方：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乙方： </w:t>
      </w:r>
    </w:p>
    <w:p w14:paraId="7A1BA72C">
      <w:pPr>
        <w:pStyle w:val="32"/>
        <w:keepNext w:val="0"/>
        <w:keepLines w:val="0"/>
        <w:pageBreakBefore w:val="0"/>
        <w:widowControl w:val="0"/>
        <w:spacing w:before="120" w:beforeAutospacing="0" w:after="120" w:afterAutospacing="0" w:line="520" w:lineRule="atLeast"/>
        <w:jc w:val="both"/>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 地址：                地址： </w:t>
      </w:r>
    </w:p>
    <w:p w14:paraId="346535BA">
      <w:pPr>
        <w:pStyle w:val="32"/>
        <w:keepNext w:val="0"/>
        <w:keepLines w:val="0"/>
        <w:pageBreakBefore w:val="0"/>
        <w:widowControl w:val="0"/>
        <w:spacing w:before="120" w:beforeAutospacing="0" w:after="120" w:afterAutospacing="0" w:line="520" w:lineRule="atLeast"/>
        <w:jc w:val="both"/>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法定代表人或授权代表：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法定代表人或授权代表：</w:t>
      </w:r>
    </w:p>
    <w:p w14:paraId="16829F98">
      <w:pPr>
        <w:pStyle w:val="32"/>
        <w:keepNext w:val="0"/>
        <w:keepLines w:val="0"/>
        <w:pageBreakBefore w:val="0"/>
        <w:widowControl w:val="0"/>
        <w:spacing w:before="120" w:beforeAutospacing="0" w:after="120" w:afterAutospacing="0" w:line="520" w:lineRule="atLeast"/>
        <w:ind w:firstLine="480"/>
        <w:jc w:val="both"/>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联系电话：              联系电话：          </w:t>
      </w:r>
    </w:p>
    <w:p w14:paraId="5C5574EE">
      <w:pPr>
        <w:pStyle w:val="32"/>
        <w:spacing w:beforeAutospacing="0" w:afterAutospacing="0" w:line="0" w:lineRule="atLeast"/>
        <w:ind w:firstLine="420"/>
        <w:jc w:val="both"/>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签订日期：      年    月   日</w:t>
      </w:r>
    </w:p>
    <w:p w14:paraId="0826B178">
      <w:pPr>
        <w:pStyle w:val="32"/>
        <w:spacing w:before="120" w:beforeAutospacing="0" w:after="120" w:afterAutospacing="0" w:line="0" w:lineRule="atLeast"/>
        <w:jc w:val="center"/>
        <w:rPr>
          <w:color w:val="auto"/>
          <w:highlight w:val="none"/>
          <w:shd w:val="clear" w:color="auto" w:fill="auto"/>
        </w:rPr>
      </w:pPr>
      <w:bookmarkStart w:id="131" w:name="_Toc16938590"/>
      <w:bookmarkStart w:id="132" w:name="_Toc479757211"/>
      <w:bookmarkStart w:id="133" w:name="_Toc462564139"/>
      <w:bookmarkStart w:id="134" w:name="_Toc120614244"/>
      <w:bookmarkStart w:id="135" w:name="_Toc20823346"/>
      <w:bookmarkStart w:id="136" w:name="_Hlt16619369"/>
      <w:bookmarkStart w:id="137" w:name="_Hlt16619350"/>
      <w:r>
        <w:rPr>
          <w:rFonts w:hint="eastAsia" w:asciiTheme="minorEastAsia" w:hAnsiTheme="minorEastAsia" w:eastAsiaTheme="minorEastAsia" w:cstheme="minorEastAsia"/>
          <w:color w:val="auto"/>
          <w:sz w:val="24"/>
          <w:szCs w:val="24"/>
          <w:highlight w:val="none"/>
          <w:shd w:val="clear" w:color="auto" w:fill="auto"/>
        </w:rPr>
        <w:br w:type="page" w:clear="all"/>
      </w:r>
      <w:bookmarkEnd w:id="131"/>
      <w:bookmarkEnd w:id="132"/>
      <w:bookmarkEnd w:id="133"/>
      <w:bookmarkEnd w:id="134"/>
      <w:bookmarkEnd w:id="135"/>
      <w:r>
        <w:rPr>
          <w:rFonts w:hint="eastAsia" w:ascii="黑体" w:hAnsi="宋体" w:eastAsia="黑体" w:cs="黑体"/>
          <w:color w:val="auto"/>
          <w:sz w:val="44"/>
          <w:szCs w:val="44"/>
          <w:highlight w:val="none"/>
          <w:shd w:val="clear" w:color="auto" w:fill="auto"/>
        </w:rPr>
        <w:t>第四章 采购需求</w:t>
      </w:r>
      <w:bookmarkStart w:id="138" w:name="_Toc26554093"/>
      <w:bookmarkEnd w:id="138"/>
      <w:bookmarkStart w:id="139" w:name="_Toc49090575"/>
      <w:bookmarkEnd w:id="139"/>
    </w:p>
    <w:p w14:paraId="6327355F">
      <w:pPr>
        <w:pStyle w:val="32"/>
        <w:keepNext w:val="0"/>
        <w:keepLines w:val="0"/>
        <w:pageBreakBefore w:val="0"/>
        <w:spacing w:before="120" w:beforeAutospacing="0" w:after="120" w:afterAutospacing="0" w:line="500" w:lineRule="exact"/>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项目属性：服务类项目</w:t>
      </w:r>
    </w:p>
    <w:p w14:paraId="40DF03C1">
      <w:pPr>
        <w:keepNext w:val="0"/>
        <w:keepLines w:val="0"/>
        <w:pageBreakBefore w:val="0"/>
        <w:widowControl w:val="0"/>
        <w:spacing w:line="500" w:lineRule="exact"/>
        <w:ind w:firstLine="482"/>
        <w:jc w:val="both"/>
        <w:rPr>
          <w:rFonts w:hint="eastAsia" w:ascii="宋体" w:hAnsi="宋体" w:eastAsia="宋体" w:cs="宋体"/>
          <w:b/>
          <w:bCs/>
          <w:sz w:val="24"/>
          <w:szCs w:val="24"/>
        </w:rPr>
      </w:pPr>
      <w:r>
        <w:rPr>
          <w:rFonts w:hint="eastAsia" w:ascii="宋体" w:hAnsi="宋体" w:eastAsia="宋体" w:cs="宋体"/>
          <w:b/>
          <w:bCs/>
          <w:sz w:val="24"/>
          <w:szCs w:val="24"/>
          <w:lang w:val="en-US" w:eastAsia="zh-CN"/>
        </w:rPr>
        <w:t>一、</w:t>
      </w:r>
      <w:r>
        <w:rPr>
          <w:rFonts w:hint="eastAsia" w:ascii="宋体" w:hAnsi="宋体" w:eastAsia="宋体" w:cs="宋体"/>
          <w:b/>
          <w:bCs/>
          <w:sz w:val="24"/>
          <w:szCs w:val="24"/>
        </w:rPr>
        <w:t>项目</w:t>
      </w:r>
      <w:r>
        <w:rPr>
          <w:rFonts w:hint="eastAsia" w:ascii="宋体" w:hAnsi="宋体" w:eastAsia="宋体" w:cs="宋体"/>
          <w:b/>
          <w:bCs/>
          <w:sz w:val="24"/>
          <w:szCs w:val="24"/>
          <w:lang w:val="en-US" w:eastAsia="zh-CN"/>
        </w:rPr>
        <w:t>概况</w:t>
      </w:r>
    </w:p>
    <w:p w14:paraId="4DD959C4">
      <w:pPr>
        <w:keepNext w:val="0"/>
        <w:keepLines w:val="0"/>
        <w:pageBreakBefore w:val="0"/>
        <w:widowControl w:val="0"/>
        <w:spacing w:line="500" w:lineRule="exact"/>
        <w:ind w:firstLine="480"/>
        <w:rPr>
          <w:rFonts w:hint="eastAsia" w:ascii="宋体" w:hAnsi="宋体" w:eastAsia="宋体" w:cs="宋体"/>
          <w:sz w:val="24"/>
          <w:szCs w:val="24"/>
        </w:rPr>
      </w:pPr>
      <w:r>
        <w:rPr>
          <w:rFonts w:hint="eastAsia" w:ascii="宋体" w:hAnsi="宋体" w:eastAsia="宋体" w:cs="宋体"/>
          <w:sz w:val="24"/>
          <w:szCs w:val="24"/>
        </w:rPr>
        <w:t>射阳港经济开发区美食广场等物业服务项目</w:t>
      </w:r>
      <w:r>
        <w:rPr>
          <w:rFonts w:hint="eastAsia" w:ascii="宋体" w:hAnsi="宋体" w:eastAsia="宋体" w:cs="宋体"/>
          <w:sz w:val="24"/>
          <w:szCs w:val="24"/>
          <w:lang w:eastAsia="zh-CN"/>
        </w:rPr>
        <w:t>的</w:t>
      </w:r>
      <w:r>
        <w:rPr>
          <w:rFonts w:hint="eastAsia" w:ascii="宋体" w:hAnsi="宋体" w:eastAsia="宋体" w:cs="宋体"/>
          <w:sz w:val="24"/>
          <w:szCs w:val="24"/>
        </w:rPr>
        <w:t>保卫、卫生保洁</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工程维修等，</w:t>
      </w:r>
      <w:r>
        <w:rPr>
          <w:rFonts w:hint="eastAsia" w:ascii="宋体" w:hAnsi="宋体" w:eastAsia="宋体" w:cs="宋体"/>
          <w:sz w:val="24"/>
          <w:szCs w:val="24"/>
        </w:rPr>
        <w:t>具体以</w:t>
      </w:r>
      <w:r>
        <w:rPr>
          <w:rFonts w:hint="eastAsia" w:ascii="宋体" w:hAnsi="宋体" w:eastAsia="宋体" w:cs="宋体"/>
          <w:sz w:val="24"/>
          <w:szCs w:val="24"/>
          <w:lang w:val="en-US" w:eastAsia="zh-CN"/>
        </w:rPr>
        <w:t>磋商</w:t>
      </w:r>
      <w:r>
        <w:rPr>
          <w:rFonts w:hint="eastAsia" w:ascii="宋体" w:hAnsi="宋体" w:eastAsia="宋体" w:cs="宋体"/>
          <w:sz w:val="24"/>
          <w:szCs w:val="24"/>
        </w:rPr>
        <w:t>文件约定为准，</w:t>
      </w:r>
      <w:r>
        <w:rPr>
          <w:rFonts w:hint="eastAsia" w:ascii="宋体" w:hAnsi="宋体" w:eastAsia="宋体" w:cs="宋体"/>
          <w:sz w:val="24"/>
          <w:szCs w:val="24"/>
          <w:lang w:val="en-US" w:eastAsia="zh-CN"/>
        </w:rPr>
        <w:t>采购人</w:t>
      </w:r>
      <w:r>
        <w:rPr>
          <w:rFonts w:hint="eastAsia" w:ascii="宋体" w:hAnsi="宋体" w:eastAsia="宋体" w:cs="宋体"/>
          <w:sz w:val="24"/>
          <w:szCs w:val="24"/>
        </w:rPr>
        <w:t>保留对招标范围和内容进行适当调整的权利。</w:t>
      </w:r>
    </w:p>
    <w:p w14:paraId="7E73542E">
      <w:pPr>
        <w:keepNext w:val="0"/>
        <w:keepLines w:val="0"/>
        <w:pageBreakBefore w:val="0"/>
        <w:widowControl w:val="0"/>
        <w:numPr>
          <w:ilvl w:val="0"/>
          <w:numId w:val="1"/>
        </w:numPr>
        <w:spacing w:line="50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位置坐落：悦海花苑、河蟹交易市场、农贸市场、停车场、美食广场和中车流动摊点经营广场及建设南路停车场。</w:t>
      </w:r>
    </w:p>
    <w:p w14:paraId="06D66718">
      <w:pPr>
        <w:keepNext w:val="0"/>
        <w:keepLines w:val="0"/>
        <w:pageBreakBefore w:val="0"/>
        <w:widowControl w:val="0"/>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val="en-US" w:eastAsia="zh-CN"/>
        </w:rPr>
        <w:t>2.服务内容：</w:t>
      </w:r>
      <w:r>
        <w:rPr>
          <w:rFonts w:hint="eastAsia" w:ascii="宋体" w:hAnsi="宋体" w:eastAsia="宋体" w:cs="宋体"/>
          <w:sz w:val="24"/>
          <w:szCs w:val="24"/>
        </w:rPr>
        <w:t>全面负责</w:t>
      </w:r>
      <w:r>
        <w:rPr>
          <w:rFonts w:hint="eastAsia" w:ascii="宋体" w:hAnsi="宋体" w:eastAsia="宋体" w:cs="宋体"/>
          <w:sz w:val="24"/>
          <w:szCs w:val="24"/>
          <w:lang w:eastAsia="zh-CN"/>
        </w:rPr>
        <w:t>区域</w:t>
      </w:r>
      <w:r>
        <w:rPr>
          <w:rFonts w:hint="eastAsia" w:ascii="宋体" w:hAnsi="宋体" w:eastAsia="宋体" w:cs="宋体"/>
          <w:sz w:val="24"/>
          <w:szCs w:val="24"/>
        </w:rPr>
        <w:t>内的各类安全保卫管理工作</w:t>
      </w:r>
      <w:r>
        <w:rPr>
          <w:rFonts w:hint="eastAsia" w:ascii="宋体" w:hAnsi="宋体" w:eastAsia="宋体" w:cs="宋体"/>
          <w:sz w:val="24"/>
          <w:szCs w:val="24"/>
          <w:lang w:eastAsia="zh-CN"/>
        </w:rPr>
        <w:t>。</w:t>
      </w:r>
      <w:r>
        <w:rPr>
          <w:rFonts w:hint="eastAsia" w:ascii="宋体" w:hAnsi="宋体" w:eastAsia="宋体" w:cs="宋体"/>
          <w:color w:val="000000"/>
          <w:sz w:val="24"/>
          <w:szCs w:val="24"/>
        </w:rPr>
        <w:t>包括日常安全防护、物业管理、保洁管理、设备设施管理、客服管理、餐饮服务管理、反恐防暴应急管理、维护</w:t>
      </w:r>
      <w:r>
        <w:rPr>
          <w:rFonts w:hint="eastAsia" w:ascii="宋体" w:hAnsi="宋体" w:eastAsia="宋体" w:cs="宋体"/>
          <w:color w:val="000000"/>
          <w:sz w:val="24"/>
          <w:szCs w:val="24"/>
          <w:lang w:eastAsia="zh-CN"/>
        </w:rPr>
        <w:t>广场</w:t>
      </w:r>
      <w:r>
        <w:rPr>
          <w:rFonts w:hint="eastAsia" w:ascii="宋体" w:hAnsi="宋体" w:eastAsia="宋体" w:cs="宋体"/>
          <w:color w:val="000000"/>
          <w:sz w:val="24"/>
          <w:szCs w:val="24"/>
        </w:rPr>
        <w:t>内日常安防消防设施设备以及节假日或特殊时段延时开放的相关工作。</w:t>
      </w:r>
    </w:p>
    <w:p w14:paraId="39069C2B">
      <w:pPr>
        <w:keepNext w:val="0"/>
        <w:keepLines w:val="0"/>
        <w:pageBreakBefore w:val="0"/>
        <w:widowControl w:val="0"/>
        <w:spacing w:line="50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3.服务范围：</w:t>
      </w:r>
    </w:p>
    <w:p w14:paraId="64E629FF">
      <w:pPr>
        <w:keepNext w:val="0"/>
        <w:keepLines w:val="0"/>
        <w:pageBreakBefore w:val="0"/>
        <w:widowControl w:val="0"/>
        <w:spacing w:line="50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（1）负责物业管理范围内的室内外公共环境卫生保洁服务；负责垃圾收集、清运工作。</w:t>
      </w:r>
    </w:p>
    <w:p w14:paraId="593CD66C">
      <w:pPr>
        <w:keepNext w:val="0"/>
        <w:keepLines w:val="0"/>
        <w:pageBreakBefore w:val="0"/>
        <w:widowControl w:val="0"/>
        <w:spacing w:line="50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（2）负责物业管理范围内公共区域设施设备日常运行巡查及办公室内部分设备维修，包括日常故障解决，确保运行正常。</w:t>
      </w:r>
    </w:p>
    <w:p w14:paraId="2557A067">
      <w:pPr>
        <w:keepNext w:val="0"/>
        <w:keepLines w:val="0"/>
        <w:pageBreakBefore w:val="0"/>
        <w:widowControl w:val="0"/>
        <w:spacing w:line="50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 建立与管理物业档案资料。</w:t>
      </w:r>
    </w:p>
    <w:p w14:paraId="4563F8D2">
      <w:pPr>
        <w:keepNext w:val="0"/>
        <w:keepLines w:val="0"/>
        <w:pageBreakBefore w:val="0"/>
        <w:widowControl w:val="0"/>
        <w:spacing w:line="50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（4）建立健全物业岗位培训、考核机制。</w:t>
      </w:r>
    </w:p>
    <w:p w14:paraId="4F530558">
      <w:pPr>
        <w:keepNext w:val="0"/>
        <w:keepLines w:val="0"/>
        <w:pageBreakBefore w:val="0"/>
        <w:spacing w:line="500" w:lineRule="exact"/>
        <w:ind w:left="0" w:firstLine="480"/>
        <w:rPr>
          <w:rFonts w:hint="default" w:ascii="宋体" w:hAnsi="宋体" w:eastAsia="宋体" w:cs="宋体"/>
          <w:sz w:val="24"/>
          <w:szCs w:val="24"/>
          <w:lang w:val="en-US"/>
        </w:rPr>
      </w:pPr>
      <w:r>
        <w:rPr>
          <w:rFonts w:hint="eastAsia" w:ascii="宋体" w:hAnsi="宋体" w:eastAsia="宋体" w:cs="宋体"/>
          <w:sz w:val="24"/>
          <w:szCs w:val="24"/>
          <w:lang w:val="en-US" w:eastAsia="zh-CN"/>
        </w:rPr>
        <w:t>4、</w:t>
      </w:r>
      <w:r>
        <w:rPr>
          <w:rFonts w:hint="eastAsia" w:ascii="宋体" w:hAnsi="宋体" w:eastAsia="宋体" w:cs="宋体"/>
          <w:color w:val="000000"/>
          <w:sz w:val="24"/>
          <w:szCs w:val="24"/>
        </w:rPr>
        <w:t>服务过程中所使用的维修类工具、劳动用品、保洁类用具、清洁用具、耗材（包括但不限于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消毒液、洁厕灵、垃圾袋、空气清洗剂</w:t>
      </w:r>
      <w:r>
        <w:rPr>
          <w:rFonts w:hint="eastAsia" w:ascii="宋体" w:hAnsi="宋体" w:eastAsia="宋体" w:cs="仿宋"/>
          <w:color w:val="333333"/>
          <w:sz w:val="24"/>
          <w:shd w:val="clear" w:color="auto" w:fill="FFFFFF"/>
        </w:rPr>
        <w:t>、毛巾等</w:t>
      </w:r>
      <w:r>
        <w:rPr>
          <w:rFonts w:hint="eastAsia" w:ascii="宋体" w:hAnsi="宋体" w:eastAsia="宋体" w:cs="宋体"/>
          <w:color w:val="000000"/>
          <w:sz w:val="24"/>
          <w:szCs w:val="24"/>
        </w:rPr>
        <w:t>）等均由供应商负责提供。</w:t>
      </w:r>
      <w:r>
        <w:rPr>
          <w:rFonts w:hint="eastAsia" w:ascii="宋体" w:hAnsi="宋体" w:eastAsia="宋体" w:cs="宋体"/>
          <w:sz w:val="24"/>
          <w:szCs w:val="24"/>
          <w:lang w:val="en-US" w:eastAsia="zh-CN"/>
        </w:rPr>
        <w:t xml:space="preserve"> </w:t>
      </w:r>
    </w:p>
    <w:p w14:paraId="33DED06B">
      <w:pPr>
        <w:keepNext w:val="0"/>
        <w:keepLines w:val="0"/>
        <w:pageBreakBefore w:val="0"/>
        <w:widowControl w:val="0"/>
        <w:spacing w:line="500" w:lineRule="exact"/>
        <w:ind w:firstLine="48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三、详细服务要求</w:t>
      </w:r>
    </w:p>
    <w:p w14:paraId="79962A85">
      <w:pPr>
        <w:keepNext w:val="0"/>
        <w:keepLines w:val="0"/>
        <w:pageBreakBefore w:val="0"/>
        <w:spacing w:line="500" w:lineRule="exact"/>
        <w:ind w:left="0" w:firstLine="480"/>
        <w:rPr>
          <w:rFonts w:hint="eastAsia" w:ascii="宋体" w:hAnsi="宋体" w:eastAsia="宋体" w:cs="宋体"/>
          <w:color w:val="000000"/>
          <w:sz w:val="24"/>
          <w:szCs w:val="24"/>
          <w:lang w:eastAsia="zh-CN"/>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安全管理要求</w:t>
      </w:r>
    </w:p>
    <w:p w14:paraId="103EEC8D">
      <w:pPr>
        <w:keepNext w:val="0"/>
        <w:keepLines w:val="0"/>
        <w:pageBreakBefore w:val="0"/>
        <w:spacing w:line="500" w:lineRule="exact"/>
        <w:ind w:left="0"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负责值班室值班、</w:t>
      </w:r>
      <w:r>
        <w:rPr>
          <w:rFonts w:hint="eastAsia" w:ascii="宋体" w:hAnsi="宋体" w:eastAsia="宋体" w:cs="宋体"/>
          <w:color w:val="000000"/>
          <w:sz w:val="24"/>
          <w:szCs w:val="24"/>
          <w:lang w:eastAsia="zh-CN"/>
        </w:rPr>
        <w:t>整个区域</w:t>
      </w:r>
      <w:r>
        <w:rPr>
          <w:rFonts w:hint="eastAsia" w:ascii="宋体" w:hAnsi="宋体" w:eastAsia="宋体" w:cs="宋体"/>
          <w:color w:val="000000"/>
          <w:sz w:val="24"/>
          <w:szCs w:val="24"/>
        </w:rPr>
        <w:t>安全巡查、秩序维持、车辆停放等安全保卫工 作，确保上述地域内的人身财物安全，以及工作正常有序运转。</w:t>
      </w:r>
    </w:p>
    <w:p w14:paraId="681C4F19">
      <w:pPr>
        <w:keepNext w:val="0"/>
        <w:keepLines w:val="0"/>
        <w:pageBreakBefore w:val="0"/>
        <w:spacing w:line="500" w:lineRule="exact"/>
        <w:ind w:left="0" w:firstLine="480"/>
        <w:rPr>
          <w:rFonts w:hint="eastAsia" w:ascii="宋体" w:hAnsi="宋体" w:eastAsia="宋体" w:cs="宋体"/>
          <w:color w:val="000000"/>
          <w:sz w:val="24"/>
          <w:szCs w:val="24"/>
        </w:rPr>
      </w:pPr>
      <w:bookmarkStart w:id="140" w:name="bookmark64"/>
      <w:r>
        <w:rPr>
          <w:rFonts w:hint="eastAsia" w:ascii="宋体" w:hAnsi="宋体" w:eastAsia="宋体" w:cs="宋体"/>
          <w:color w:val="000000"/>
          <w:sz w:val="24"/>
          <w:szCs w:val="24"/>
        </w:rPr>
        <w:t>出入口和要害部位实行24小时值班，确保无漏岗、脱岗等失职现象；发现情况 须及时向主管部门汇报,必要时向甲方或当地公安机关报告，填写当班记录。</w:t>
      </w:r>
    </w:p>
    <w:p w14:paraId="33BCDF44">
      <w:pPr>
        <w:keepNext w:val="0"/>
        <w:keepLines w:val="0"/>
        <w:pageBreakBefore w:val="0"/>
        <w:spacing w:line="500" w:lineRule="exact"/>
        <w:ind w:left="0" w:firstLine="480"/>
        <w:rPr>
          <w:rFonts w:hint="eastAsia" w:ascii="宋体" w:hAnsi="宋体" w:eastAsia="宋体" w:cs="宋体"/>
          <w:color w:val="000000"/>
          <w:sz w:val="24"/>
          <w:szCs w:val="24"/>
        </w:rPr>
      </w:pPr>
    </w:p>
    <w:p w14:paraId="230B747A">
      <w:pPr>
        <w:keepNext w:val="0"/>
        <w:keepLines w:val="0"/>
        <w:pageBreakBefore w:val="0"/>
        <w:spacing w:line="500" w:lineRule="exact"/>
        <w:ind w:left="0" w:firstLine="480"/>
        <w:rPr>
          <w:rFonts w:hint="eastAsia" w:ascii="宋体" w:hAnsi="宋体" w:eastAsia="宋体" w:cs="宋体"/>
          <w:color w:val="000000"/>
          <w:sz w:val="24"/>
          <w:szCs w:val="24"/>
        </w:rPr>
      </w:pPr>
      <w:bookmarkStart w:id="141" w:name="bookmark65"/>
      <w:r>
        <w:rPr>
          <w:rFonts w:hint="eastAsia" w:ascii="宋体" w:hAnsi="宋体" w:eastAsia="宋体" w:cs="宋体"/>
          <w:color w:val="000000"/>
          <w:sz w:val="24"/>
          <w:szCs w:val="24"/>
        </w:rPr>
        <w:t>值班人员负责对外来车辆、人员进出进行登记,引导车辆正确停放，做好值班室门前"三包"等工作。</w:t>
      </w:r>
    </w:p>
    <w:p w14:paraId="3E565F08">
      <w:pPr>
        <w:keepNext w:val="0"/>
        <w:keepLines w:val="0"/>
        <w:pageBreakBefore w:val="0"/>
        <w:spacing w:line="500" w:lineRule="exact"/>
        <w:ind w:left="0" w:firstLine="480"/>
        <w:rPr>
          <w:rFonts w:hint="eastAsia" w:ascii="宋体" w:hAnsi="宋体" w:eastAsia="宋体" w:cs="宋体"/>
          <w:color w:val="000000"/>
          <w:sz w:val="24"/>
          <w:szCs w:val="24"/>
        </w:rPr>
      </w:pPr>
      <w:bookmarkStart w:id="142" w:name="bookmark67"/>
      <w:bookmarkStart w:id="143" w:name="bookmark66"/>
      <w:r>
        <w:rPr>
          <w:rFonts w:hint="eastAsia" w:ascii="宋体" w:hAnsi="宋体" w:eastAsia="宋体" w:cs="宋体"/>
          <w:color w:val="000000"/>
          <w:sz w:val="24"/>
          <w:szCs w:val="24"/>
        </w:rPr>
        <w:t>工作期间严禁闲杂人员进入办公区域内。</w:t>
      </w:r>
    </w:p>
    <w:p w14:paraId="59EFFAE4">
      <w:pPr>
        <w:keepNext w:val="0"/>
        <w:keepLines w:val="0"/>
        <w:pageBreakBefore w:val="0"/>
        <w:spacing w:line="500" w:lineRule="exact"/>
        <w:ind w:left="0" w:firstLine="480"/>
        <w:rPr>
          <w:rFonts w:hint="eastAsia" w:ascii="宋体" w:hAnsi="宋体" w:eastAsia="宋体" w:cs="宋体"/>
          <w:color w:val="000000"/>
          <w:sz w:val="24"/>
          <w:szCs w:val="24"/>
        </w:rPr>
      </w:pPr>
      <w:bookmarkStart w:id="144" w:name="bookmark68"/>
      <w:r>
        <w:rPr>
          <w:rFonts w:hint="eastAsia" w:ascii="宋体" w:hAnsi="宋体" w:eastAsia="宋体" w:cs="宋体"/>
          <w:color w:val="000000"/>
          <w:sz w:val="24"/>
          <w:szCs w:val="24"/>
        </w:rPr>
        <w:t>在物管区域范围内巡视，每1小时至少巡视1次，节假日每天每班增加巡逻2 次，根据甲方制定的巡逻时间、路线,进行巡逻检查,对重点区域加强巡逻,着装规范整齐。巡逻时发现问题应及时果断处置,并迅速汇报相关领导。巡逻后要有记录，建立台帐。</w:t>
      </w:r>
    </w:p>
    <w:bookmarkEnd w:id="140"/>
    <w:bookmarkEnd w:id="141"/>
    <w:bookmarkEnd w:id="142"/>
    <w:bookmarkEnd w:id="143"/>
    <w:bookmarkEnd w:id="144"/>
    <w:p w14:paraId="523586BB">
      <w:pPr>
        <w:keepNext w:val="0"/>
        <w:keepLines w:val="0"/>
        <w:pageBreakBefore w:val="0"/>
        <w:spacing w:line="500" w:lineRule="exact"/>
        <w:ind w:left="0" w:firstLine="480"/>
        <w:rPr>
          <w:rFonts w:hint="eastAsia" w:ascii="宋体" w:hAnsi="宋体" w:eastAsia="宋体" w:cs="宋体"/>
          <w:color w:val="000000"/>
          <w:sz w:val="24"/>
          <w:szCs w:val="24"/>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卫生管理要求</w:t>
      </w:r>
    </w:p>
    <w:p w14:paraId="770BC9E2">
      <w:pPr>
        <w:keepNext w:val="0"/>
        <w:keepLines w:val="0"/>
        <w:pageBreakBefore w:val="0"/>
        <w:spacing w:line="500" w:lineRule="exact"/>
        <w:ind w:left="0"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a.</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每天清扫,发现脏物、废品应及时处理。对区域内各种设施进行抹尘和清洗，保持外围干净、整洁。</w:t>
      </w:r>
    </w:p>
    <w:p w14:paraId="1097B40C">
      <w:pPr>
        <w:keepNext w:val="0"/>
        <w:keepLines w:val="0"/>
        <w:pageBreakBefore w:val="0"/>
        <w:spacing w:line="500" w:lineRule="exact"/>
        <w:ind w:left="0"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b.</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根据各种地面脏的程度要随时进行清洗。局部地面每月用机器彻底清洗一次。</w:t>
      </w:r>
    </w:p>
    <w:p w14:paraId="201E37E7">
      <w:pPr>
        <w:keepNext w:val="0"/>
        <w:keepLines w:val="0"/>
        <w:pageBreakBefore w:val="0"/>
        <w:spacing w:line="500" w:lineRule="exact"/>
        <w:ind w:left="0"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c.</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周边绿化维护保养、修剪。绿化带重点巡查，及时清扫果皮、废纸、杂物等垃圾。</w:t>
      </w:r>
    </w:p>
    <w:p w14:paraId="025602B4">
      <w:pPr>
        <w:keepNext w:val="0"/>
        <w:keepLines w:val="0"/>
        <w:pageBreakBefore w:val="0"/>
        <w:spacing w:line="500" w:lineRule="exact"/>
        <w:ind w:left="0"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d.</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及时收集各类垃圾，堆放在指定地点。清运时密封装置，确保无飘洒和漏水现象。及时清洗垃圾筒筒身，更换垃圾袋，保持干净、无异味、无茜溢，每周使用消毒 剂进行彻底消毒，使蚊蝇鼠虫无滋生源。</w:t>
      </w:r>
    </w:p>
    <w:p w14:paraId="205426B6">
      <w:pPr>
        <w:keepNext w:val="0"/>
        <w:keepLines w:val="0"/>
        <w:pageBreakBefore w:val="0"/>
        <w:spacing w:line="500" w:lineRule="exact"/>
        <w:ind w:left="0"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e.</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保持指示牌、标识、消防器材、外围灯柱等物体表面上的清洁，及时处理各种 污迹。</w:t>
      </w:r>
    </w:p>
    <w:p w14:paraId="6F4C6799">
      <w:pPr>
        <w:keepNext w:val="0"/>
        <w:keepLines w:val="0"/>
        <w:pageBreakBefore w:val="0"/>
        <w:spacing w:line="500" w:lineRule="exact"/>
        <w:ind w:left="0"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f.</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每周清除一次卫生死角，水管处、下水道口、排水沟、水池、雨水槽内阴沟、 污水井等地方，要确保其内无杂物。</w:t>
      </w:r>
    </w:p>
    <w:p w14:paraId="7DF242AA">
      <w:pPr>
        <w:keepNext w:val="0"/>
        <w:keepLines w:val="0"/>
        <w:pageBreakBefore w:val="0"/>
        <w:spacing w:line="500" w:lineRule="exact"/>
        <w:ind w:left="0" w:firstLine="480"/>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3.工程维修管理要求</w:t>
      </w:r>
    </w:p>
    <w:p w14:paraId="62C6A123">
      <w:pPr>
        <w:keepNext w:val="0"/>
        <w:keepLines w:val="0"/>
        <w:pageBreakBefore w:val="0"/>
        <w:spacing w:line="500" w:lineRule="exact"/>
        <w:ind w:left="0"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（1）每月至少开展1次房屋结构安全巡视，发现外观有变形、开裂等现象，及时建议采购人申请房屋安全鉴定，并采取必要的避险和防护措施。</w:t>
      </w:r>
    </w:p>
    <w:p w14:paraId="70F7370C">
      <w:pPr>
        <w:keepNext w:val="0"/>
        <w:keepLines w:val="0"/>
        <w:pageBreakBefore w:val="0"/>
        <w:spacing w:line="500" w:lineRule="exact"/>
        <w:ind w:left="0"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（2）每季度至少开展1次外墙贴饰面、幕墙玻璃、雨篷、散水、空调室外机支撑构件等检查，发现破损，及时向采购人报告。</w:t>
      </w:r>
    </w:p>
    <w:p w14:paraId="5428E560">
      <w:pPr>
        <w:keepNext w:val="0"/>
        <w:keepLines w:val="0"/>
        <w:pageBreakBefore w:val="0"/>
        <w:spacing w:line="500" w:lineRule="exact"/>
        <w:ind w:left="0"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（3）每周至少开展1次公用部位的门、窗、楼梯、通风道、室内地面、墙面、吊顶和室外屋面等巡查，发现破损，及时向采购人报告。</w:t>
      </w:r>
    </w:p>
    <w:p w14:paraId="2F9CE64A">
      <w:pPr>
        <w:keepNext w:val="0"/>
        <w:keepLines w:val="0"/>
        <w:pageBreakBefore w:val="0"/>
        <w:spacing w:line="500" w:lineRule="exact"/>
        <w:ind w:left="0"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（4）每年强降雨天气前后、雨雪季节检查屋面防水和雨落管等，发现破损，及时向采购人报告。</w:t>
      </w:r>
    </w:p>
    <w:p w14:paraId="1765C1D2">
      <w:pPr>
        <w:keepNext w:val="0"/>
        <w:keepLines w:val="0"/>
        <w:pageBreakBefore w:val="0"/>
        <w:spacing w:line="500" w:lineRule="exact"/>
        <w:ind w:left="0"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（5）房屋外观完好，建筑装饰面无脱落、无破损、无污渍，玻璃幕墙清洁明亮、无破损。</w:t>
      </w:r>
    </w:p>
    <w:p w14:paraId="239F622C">
      <w:pPr>
        <w:keepNext w:val="0"/>
        <w:keepLines w:val="0"/>
        <w:pageBreakBefore w:val="0"/>
        <w:spacing w:line="500" w:lineRule="exact"/>
        <w:ind w:left="0"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（6）每周至少开展1次大门、围墙、道路、场地、管井、沟渠等巡查，每半月至少检查1次雨污水管井、化粪池等巡查，发现破损，及时向采购人报告。</w:t>
      </w:r>
    </w:p>
    <w:p w14:paraId="6D1A0846">
      <w:pPr>
        <w:keepNext w:val="0"/>
        <w:keepLines w:val="0"/>
        <w:pageBreakBefore w:val="0"/>
        <w:spacing w:line="500" w:lineRule="exact"/>
        <w:ind w:left="0"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（7）重大节假日及恶劣天气前后，组织系统巡检1次。</w:t>
      </w:r>
    </w:p>
    <w:p w14:paraId="1F4AC2C6">
      <w:pPr>
        <w:keepNext w:val="0"/>
        <w:keepLines w:val="0"/>
        <w:pageBreakBefore w:val="0"/>
        <w:spacing w:line="500" w:lineRule="exact"/>
        <w:ind w:left="0"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（8）具备设施设备安全、稳定运行的环境和场所（含有限空间），温湿度、照度等符合相关安全规范。</w:t>
      </w:r>
    </w:p>
    <w:p w14:paraId="1C756797">
      <w:pPr>
        <w:keepNext w:val="0"/>
        <w:keepLines w:val="0"/>
        <w:pageBreakBefore w:val="0"/>
        <w:spacing w:line="500" w:lineRule="exact"/>
        <w:ind w:left="0"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9）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p>
    <w:p w14:paraId="26A1B523">
      <w:pPr>
        <w:keepNext w:val="0"/>
        <w:keepLines w:val="0"/>
        <w:pageBreakBefore w:val="0"/>
        <w:spacing w:line="500" w:lineRule="exact"/>
        <w:ind w:left="0"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（10）按各设备机房国家标准规范规定做好消防、通风、应急照明和漏水渗水方面巡查，发现问题及时向采购人报告。</w:t>
      </w:r>
    </w:p>
    <w:p w14:paraId="3DB420BD">
      <w:pPr>
        <w:keepNext w:val="0"/>
        <w:keepLines w:val="0"/>
        <w:pageBreakBefore w:val="0"/>
        <w:spacing w:line="500" w:lineRule="exact"/>
        <w:ind w:left="0"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（11）消火栓箱、防火门、灭火器、消防水泵、红外线报警器、应急照明、安全疏散等系统运行正常。</w:t>
      </w:r>
    </w:p>
    <w:p w14:paraId="4F40244F">
      <w:pPr>
        <w:keepNext w:val="0"/>
        <w:keepLines w:val="0"/>
        <w:pageBreakBefore w:val="0"/>
        <w:spacing w:line="500" w:lineRule="exact"/>
        <w:ind w:left="0"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（12）消防监控系统运行良好，自动和手动报警设施启动正常。</w:t>
      </w:r>
    </w:p>
    <w:p w14:paraId="74BD6CE5">
      <w:pPr>
        <w:keepNext w:val="0"/>
        <w:keepLines w:val="0"/>
        <w:pageBreakBefore w:val="0"/>
        <w:spacing w:line="500" w:lineRule="exact"/>
        <w:ind w:left="0"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（13）负责日常水电维修服务，日常消防设施巡查，持有相关工程专业证书（至少需要有低压电工作业证）、具有高压电工作业证、中级及以上消防设施操作员证书的优先。</w:t>
      </w:r>
    </w:p>
    <w:p w14:paraId="4765FCB8">
      <w:pPr>
        <w:keepNext w:val="0"/>
        <w:keepLines w:val="0"/>
        <w:pageBreakBefore w:val="0"/>
        <w:widowControl w:val="0"/>
        <w:numPr>
          <w:ilvl w:val="0"/>
          <w:numId w:val="0"/>
        </w:numPr>
        <w:spacing w:line="500" w:lineRule="exact"/>
        <w:ind w:firstLine="482"/>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4. 人员管理要求</w:t>
      </w:r>
    </w:p>
    <w:tbl>
      <w:tblPr>
        <w:tblStyle w:val="35"/>
        <w:tblW w:w="9086" w:type="dxa"/>
        <w:tblInd w:w="0" w:type="dxa"/>
        <w:tblLayout w:type="fixed"/>
        <w:tblCellMar>
          <w:top w:w="15" w:type="dxa"/>
          <w:left w:w="15" w:type="dxa"/>
          <w:bottom w:w="15" w:type="dxa"/>
          <w:right w:w="15" w:type="dxa"/>
        </w:tblCellMar>
      </w:tblPr>
      <w:tblGrid>
        <w:gridCol w:w="663"/>
        <w:gridCol w:w="1673"/>
        <w:gridCol w:w="750"/>
        <w:gridCol w:w="6000"/>
      </w:tblGrid>
      <w:tr w14:paraId="3ABEACD9">
        <w:tblPrEx>
          <w:tblCellMar>
            <w:top w:w="15" w:type="dxa"/>
            <w:left w:w="15" w:type="dxa"/>
            <w:bottom w:w="15" w:type="dxa"/>
            <w:right w:w="15" w:type="dxa"/>
          </w:tblCellMar>
        </w:tblPrEx>
        <w:trPr>
          <w:trHeight w:val="327" w:hRule="atLeast"/>
        </w:trPr>
        <w:tc>
          <w:tcPr>
            <w:tcW w:w="663" w:type="dxa"/>
            <w:tcBorders>
              <w:top w:val="single" w:color="auto" w:sz="4" w:space="0"/>
              <w:left w:val="single" w:color="auto" w:sz="4" w:space="0"/>
              <w:bottom w:val="single" w:color="000000" w:sz="4" w:space="0"/>
              <w:right w:val="single" w:color="000000" w:sz="4" w:space="0"/>
            </w:tcBorders>
            <w:noWrap w:val="0"/>
            <w:vAlign w:val="center"/>
          </w:tcPr>
          <w:p w14:paraId="4B8B2E9B">
            <w:pPr>
              <w:keepNext w:val="0"/>
              <w:keepLines w:val="0"/>
              <w:pageBreakBefore w:val="0"/>
              <w:spacing w:line="50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1673" w:type="dxa"/>
            <w:tcBorders>
              <w:top w:val="single" w:color="auto" w:sz="4" w:space="0"/>
              <w:left w:val="single" w:color="000000" w:sz="4" w:space="0"/>
              <w:bottom w:val="single" w:color="000000" w:sz="4" w:space="0"/>
              <w:right w:val="single" w:color="000000" w:sz="4" w:space="0"/>
            </w:tcBorders>
            <w:noWrap w:val="0"/>
            <w:vAlign w:val="center"/>
          </w:tcPr>
          <w:p w14:paraId="5E3F5AD8">
            <w:pPr>
              <w:keepNext w:val="0"/>
              <w:keepLines w:val="0"/>
              <w:pageBreakBefore w:val="0"/>
              <w:spacing w:line="500" w:lineRule="exact"/>
              <w:jc w:val="center"/>
              <w:rPr>
                <w:rFonts w:hint="eastAsia" w:ascii="宋体" w:hAnsi="宋体" w:eastAsia="宋体" w:cs="宋体"/>
                <w:sz w:val="24"/>
                <w:szCs w:val="24"/>
              </w:rPr>
            </w:pPr>
            <w:r>
              <w:rPr>
                <w:rFonts w:hint="eastAsia" w:ascii="宋体" w:hAnsi="宋体" w:eastAsia="宋体" w:cs="宋体"/>
                <w:sz w:val="24"/>
                <w:szCs w:val="24"/>
              </w:rPr>
              <w:t>岗位</w:t>
            </w:r>
          </w:p>
        </w:tc>
        <w:tc>
          <w:tcPr>
            <w:tcW w:w="750" w:type="dxa"/>
            <w:tcBorders>
              <w:top w:val="single" w:color="auto" w:sz="4" w:space="0"/>
              <w:left w:val="single" w:color="000000" w:sz="4" w:space="0"/>
              <w:bottom w:val="single" w:color="000000" w:sz="4" w:space="0"/>
              <w:right w:val="single" w:color="000000" w:sz="4" w:space="0"/>
            </w:tcBorders>
            <w:noWrap w:val="0"/>
            <w:vAlign w:val="center"/>
          </w:tcPr>
          <w:p w14:paraId="3C99B91E">
            <w:pPr>
              <w:keepNext w:val="0"/>
              <w:keepLines w:val="0"/>
              <w:pageBreakBefore w:val="0"/>
              <w:spacing w:line="500" w:lineRule="exact"/>
              <w:jc w:val="center"/>
              <w:rPr>
                <w:rFonts w:hint="eastAsia" w:ascii="宋体" w:hAnsi="宋体" w:eastAsia="宋体" w:cs="宋体"/>
                <w:sz w:val="24"/>
                <w:szCs w:val="24"/>
              </w:rPr>
            </w:pPr>
            <w:r>
              <w:rPr>
                <w:rFonts w:hint="eastAsia" w:ascii="宋体" w:hAnsi="宋体" w:eastAsia="宋体" w:cs="宋体"/>
                <w:sz w:val="24"/>
                <w:szCs w:val="24"/>
              </w:rPr>
              <w:t>人数</w:t>
            </w:r>
          </w:p>
        </w:tc>
        <w:tc>
          <w:tcPr>
            <w:tcW w:w="6000" w:type="dxa"/>
            <w:tcBorders>
              <w:top w:val="single" w:color="auto" w:sz="4" w:space="0"/>
              <w:left w:val="single" w:color="000000" w:sz="4" w:space="0"/>
              <w:bottom w:val="single" w:color="000000" w:sz="4" w:space="0"/>
              <w:right w:val="single" w:color="auto" w:sz="4" w:space="0"/>
            </w:tcBorders>
            <w:noWrap w:val="0"/>
            <w:vAlign w:val="center"/>
          </w:tcPr>
          <w:p w14:paraId="68F38D3E">
            <w:pPr>
              <w:keepNext w:val="0"/>
              <w:keepLines w:val="0"/>
              <w:pageBreakBefore w:val="0"/>
              <w:spacing w:line="500" w:lineRule="exact"/>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人员要求</w:t>
            </w:r>
          </w:p>
        </w:tc>
      </w:tr>
      <w:tr w14:paraId="07C2893B">
        <w:tblPrEx>
          <w:tblCellMar>
            <w:top w:w="15" w:type="dxa"/>
            <w:left w:w="15" w:type="dxa"/>
            <w:bottom w:w="15" w:type="dxa"/>
            <w:right w:w="15" w:type="dxa"/>
          </w:tblCellMar>
        </w:tblPrEx>
        <w:trPr>
          <w:trHeight w:val="90" w:hRule="atLeast"/>
        </w:trPr>
        <w:tc>
          <w:tcPr>
            <w:tcW w:w="663" w:type="dxa"/>
            <w:tcBorders>
              <w:top w:val="single" w:color="000000" w:sz="4" w:space="0"/>
              <w:left w:val="single" w:color="auto" w:sz="4" w:space="0"/>
              <w:bottom w:val="single" w:color="000000" w:sz="4" w:space="0"/>
              <w:right w:val="single" w:color="000000" w:sz="4" w:space="0"/>
            </w:tcBorders>
            <w:noWrap w:val="0"/>
            <w:vAlign w:val="center"/>
          </w:tcPr>
          <w:p w14:paraId="6306BCD1">
            <w:pPr>
              <w:keepNext w:val="0"/>
              <w:keepLines w:val="0"/>
              <w:pageBreakBefore w:val="0"/>
              <w:spacing w:line="5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673" w:type="dxa"/>
            <w:tcBorders>
              <w:top w:val="single" w:color="000000" w:sz="4" w:space="0"/>
              <w:left w:val="single" w:color="000000" w:sz="4" w:space="0"/>
              <w:bottom w:val="single" w:color="auto" w:sz="4" w:space="0"/>
              <w:right w:val="single" w:color="000000" w:sz="4" w:space="0"/>
            </w:tcBorders>
            <w:noWrap w:val="0"/>
            <w:vAlign w:val="center"/>
          </w:tcPr>
          <w:p w14:paraId="47632B34">
            <w:pPr>
              <w:keepNext w:val="0"/>
              <w:keepLines w:val="0"/>
              <w:pageBreakBefore w:val="0"/>
              <w:widowControl/>
              <w:suppressLineNumbers w:val="0"/>
              <w:spacing w:line="500" w:lineRule="exact"/>
              <w:jc w:val="center"/>
              <w:rPr>
                <w:rFonts w:hint="eastAsia" w:ascii="宋体" w:hAnsi="宋体" w:eastAsia="宋体" w:cs="宋体"/>
                <w:color w:val="auto"/>
                <w:sz w:val="24"/>
                <w:szCs w:val="24"/>
                <w:lang w:val="en-US" w:eastAsia="zh-CN"/>
              </w:rPr>
            </w:pPr>
            <w:r>
              <w:rPr>
                <w:rFonts w:hint="eastAsia" w:eastAsia="宋体"/>
                <w:color w:val="auto"/>
                <w:lang w:eastAsia="zh-CN"/>
              </w:rPr>
              <w:t>项目负责人</w:t>
            </w:r>
          </w:p>
        </w:tc>
        <w:tc>
          <w:tcPr>
            <w:tcW w:w="750" w:type="dxa"/>
            <w:tcBorders>
              <w:top w:val="single" w:color="000000" w:sz="4" w:space="0"/>
              <w:left w:val="single" w:color="000000" w:sz="4" w:space="0"/>
              <w:bottom w:val="single" w:color="auto" w:sz="4" w:space="0"/>
              <w:right w:val="single" w:color="000000" w:sz="4" w:space="0"/>
            </w:tcBorders>
            <w:noWrap w:val="0"/>
            <w:vAlign w:val="center"/>
          </w:tcPr>
          <w:p w14:paraId="0AAC173B">
            <w:pPr>
              <w:keepNext w:val="0"/>
              <w:keepLines w:val="0"/>
              <w:pageBreakBefore w:val="0"/>
              <w:spacing w:line="500" w:lineRule="exact"/>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6000" w:type="dxa"/>
            <w:tcBorders>
              <w:top w:val="single" w:color="000000" w:sz="4" w:space="0"/>
              <w:left w:val="single" w:color="000000" w:sz="4" w:space="0"/>
              <w:bottom w:val="single" w:color="auto" w:sz="4" w:space="0"/>
              <w:right w:val="single" w:color="auto" w:sz="4" w:space="0"/>
            </w:tcBorders>
            <w:noWrap w:val="0"/>
            <w:vAlign w:val="center"/>
          </w:tcPr>
          <w:p w14:paraId="628C89C2">
            <w:pPr>
              <w:keepNext w:val="0"/>
              <w:keepLines w:val="0"/>
              <w:pageBreakBefore w:val="0"/>
              <w:widowControl w:val="0"/>
              <w:spacing w:line="460" w:lineRule="exact"/>
              <w:jc w:val="left"/>
              <w:rPr>
                <w:rFonts w:hint="eastAsia" w:ascii="宋体" w:hAnsi="宋体" w:eastAsia="宋体" w:cs="宋体"/>
                <w:color w:val="auto"/>
                <w:sz w:val="24"/>
                <w:szCs w:val="24"/>
                <w:lang w:val="en-US" w:eastAsia="zh-CN"/>
              </w:rPr>
            </w:pPr>
            <w:r>
              <w:rPr>
                <w:rFonts w:hint="eastAsia" w:ascii="宋体" w:hAnsi="宋体" w:cs="宋体"/>
                <w:sz w:val="24"/>
                <w:szCs w:val="24"/>
              </w:rPr>
              <w:t>负责物业全面工作，男女不限。项目负责人必须为投标人本单位正式职工，大专及以上学历，年龄在45周岁以内，负责项目整体管理和协调，具有</w:t>
            </w:r>
            <w:r>
              <w:rPr>
                <w:rFonts w:hint="eastAsia" w:ascii="宋体" w:hAnsi="宋体" w:eastAsia="宋体" w:cs="宋体"/>
                <w:sz w:val="24"/>
                <w:szCs w:val="24"/>
                <w:lang w:eastAsia="zh-CN"/>
              </w:rPr>
              <w:t>本科学历、</w:t>
            </w:r>
            <w:r>
              <w:rPr>
                <w:rFonts w:hint="eastAsia" w:ascii="宋体" w:hAnsi="宋体" w:cs="宋体"/>
                <w:sz w:val="24"/>
                <w:szCs w:val="24"/>
              </w:rPr>
              <w:t>消防设施操作、安保、物业管理的相关证书的优先。</w:t>
            </w:r>
          </w:p>
        </w:tc>
      </w:tr>
      <w:tr w14:paraId="0E56ED5E">
        <w:tblPrEx>
          <w:tblCellMar>
            <w:top w:w="15" w:type="dxa"/>
            <w:left w:w="15" w:type="dxa"/>
            <w:bottom w:w="15" w:type="dxa"/>
            <w:right w:w="15" w:type="dxa"/>
          </w:tblCellMar>
        </w:tblPrEx>
        <w:trPr>
          <w:trHeight w:val="666" w:hRule="atLeast"/>
        </w:trPr>
        <w:tc>
          <w:tcPr>
            <w:tcW w:w="663" w:type="dxa"/>
            <w:tcBorders>
              <w:top w:val="single" w:color="000000" w:sz="4" w:space="0"/>
              <w:left w:val="single" w:color="auto" w:sz="4" w:space="0"/>
              <w:bottom w:val="single" w:color="000000" w:sz="4" w:space="0"/>
              <w:right w:val="single" w:color="000000" w:sz="4" w:space="0"/>
            </w:tcBorders>
            <w:noWrap w:val="0"/>
            <w:vAlign w:val="center"/>
          </w:tcPr>
          <w:p w14:paraId="2FE028C3">
            <w:pPr>
              <w:keepNext w:val="0"/>
              <w:keepLines w:val="0"/>
              <w:pageBreakBefore w:val="0"/>
              <w:spacing w:line="50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673" w:type="dxa"/>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3AB7FCCF">
            <w:pPr>
              <w:keepNext w:val="0"/>
              <w:keepLines w:val="0"/>
              <w:pageBreakBefore w:val="0"/>
              <w:widowControl/>
              <w:suppressLineNumbers w:val="0"/>
              <w:spacing w:line="500" w:lineRule="exact"/>
              <w:jc w:val="center"/>
              <w:rPr>
                <w:rFonts w:hint="eastAsia" w:ascii="宋体" w:hAnsi="宋体" w:eastAsia="宋体" w:cs="宋体"/>
                <w:color w:val="auto"/>
                <w:sz w:val="24"/>
                <w:szCs w:val="24"/>
                <w:lang w:val="en-US" w:eastAsia="zh-CN"/>
              </w:rPr>
            </w:pPr>
            <w:r>
              <w:rPr>
                <w:rFonts w:hint="eastAsia" w:eastAsia="宋体"/>
                <w:color w:val="auto"/>
                <w:lang w:val="en-US" w:eastAsia="zh-CN"/>
              </w:rPr>
              <w:t>保安主管</w:t>
            </w:r>
          </w:p>
        </w:tc>
        <w:tc>
          <w:tcPr>
            <w:tcW w:w="750" w:type="dxa"/>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13597901">
            <w:pPr>
              <w:keepNext w:val="0"/>
              <w:keepLines w:val="0"/>
              <w:pageBreakBefore w:val="0"/>
              <w:spacing w:line="500" w:lineRule="exact"/>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6000" w:type="dxa"/>
            <w:tcBorders>
              <w:top w:val="single" w:color="000000" w:sz="4" w:space="0"/>
              <w:left w:val="single" w:color="000000" w:sz="4" w:space="0"/>
              <w:bottom w:val="single" w:color="auto" w:sz="4" w:space="0"/>
              <w:right w:val="single" w:color="auto" w:sz="4" w:space="0"/>
            </w:tcBorders>
            <w:shd w:val="clear" w:color="auto" w:fill="auto"/>
            <w:noWrap w:val="0"/>
            <w:vAlign w:val="center"/>
          </w:tcPr>
          <w:p w14:paraId="471AEE80">
            <w:pPr>
              <w:keepNext w:val="0"/>
              <w:keepLines w:val="0"/>
              <w:pageBreakBefore w:val="0"/>
              <w:widowControl w:val="0"/>
              <w:spacing w:line="460" w:lineRule="exact"/>
              <w:jc w:val="left"/>
              <w:rPr>
                <w:rFonts w:hint="eastAsia" w:ascii="宋体" w:hAnsi="宋体" w:eastAsia="宋体" w:cs="宋体"/>
                <w:color w:val="auto"/>
                <w:sz w:val="24"/>
                <w:szCs w:val="24"/>
                <w:lang w:eastAsia="zh-CN"/>
              </w:rPr>
            </w:pPr>
            <w:r>
              <w:rPr>
                <w:rFonts w:hint="eastAsia" w:ascii="宋体" w:hAnsi="宋体" w:cs="宋体"/>
                <w:sz w:val="24"/>
                <w:szCs w:val="24"/>
              </w:rPr>
              <w:t>协助项目经理管理各项事务。保安</w:t>
            </w:r>
            <w:r>
              <w:rPr>
                <w:rFonts w:hint="eastAsia" w:ascii="宋体" w:hAnsi="宋体" w:eastAsia="宋体" w:cs="宋体"/>
                <w:sz w:val="24"/>
                <w:szCs w:val="24"/>
                <w:lang w:eastAsia="zh-CN"/>
              </w:rPr>
              <w:t>主管</w:t>
            </w:r>
            <w:r>
              <w:rPr>
                <w:rFonts w:hint="eastAsia" w:ascii="宋体" w:hAnsi="宋体" w:cs="宋体"/>
                <w:sz w:val="24"/>
                <w:szCs w:val="24"/>
              </w:rPr>
              <w:t>具备大专及以上学历，年龄在50周岁以内，具有相应保安管理经验。有较强的组织与协调能力。具备保安员证书需同时持有消防设施操作员（建（构）筑物消防员）职业资格证的优先。</w:t>
            </w:r>
          </w:p>
        </w:tc>
      </w:tr>
      <w:tr w14:paraId="3D3AA4B9">
        <w:tblPrEx>
          <w:tblCellMar>
            <w:top w:w="15" w:type="dxa"/>
            <w:left w:w="15" w:type="dxa"/>
            <w:bottom w:w="15" w:type="dxa"/>
            <w:right w:w="15" w:type="dxa"/>
          </w:tblCellMar>
        </w:tblPrEx>
        <w:trPr>
          <w:trHeight w:val="1095" w:hRule="atLeast"/>
        </w:trPr>
        <w:tc>
          <w:tcPr>
            <w:tcW w:w="663" w:type="dxa"/>
            <w:tcBorders>
              <w:top w:val="single" w:color="000000" w:sz="4" w:space="0"/>
              <w:left w:val="single" w:color="auto" w:sz="4" w:space="0"/>
              <w:bottom w:val="single" w:color="000000" w:sz="4" w:space="0"/>
              <w:right w:val="single" w:color="000000" w:sz="4" w:space="0"/>
            </w:tcBorders>
            <w:noWrap w:val="0"/>
            <w:vAlign w:val="center"/>
          </w:tcPr>
          <w:p w14:paraId="1E6631D8">
            <w:pPr>
              <w:keepNext w:val="0"/>
              <w:keepLines w:val="0"/>
              <w:pageBreakBefore w:val="0"/>
              <w:spacing w:line="50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p>
        </w:tc>
        <w:tc>
          <w:tcPr>
            <w:tcW w:w="1673" w:type="dxa"/>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1A22FE33">
            <w:pPr>
              <w:keepNext w:val="0"/>
              <w:keepLines w:val="0"/>
              <w:pageBreakBefore w:val="0"/>
              <w:widowControl/>
              <w:suppressLineNumbers w:val="0"/>
              <w:spacing w:line="500" w:lineRule="exact"/>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保安</w:t>
            </w:r>
          </w:p>
        </w:tc>
        <w:tc>
          <w:tcPr>
            <w:tcW w:w="750" w:type="dxa"/>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45DC7D44">
            <w:pPr>
              <w:keepNext w:val="0"/>
              <w:keepLines w:val="0"/>
              <w:pageBreakBefore w:val="0"/>
              <w:spacing w:line="500" w:lineRule="exact"/>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11 </w:t>
            </w:r>
          </w:p>
        </w:tc>
        <w:tc>
          <w:tcPr>
            <w:tcW w:w="6000" w:type="dxa"/>
            <w:tcBorders>
              <w:top w:val="single" w:color="000000" w:sz="4" w:space="0"/>
              <w:left w:val="single" w:color="000000" w:sz="4" w:space="0"/>
              <w:bottom w:val="single" w:color="auto" w:sz="4" w:space="0"/>
              <w:right w:val="single" w:color="auto" w:sz="4" w:space="0"/>
            </w:tcBorders>
            <w:shd w:val="clear" w:color="auto" w:fill="auto"/>
            <w:noWrap w:val="0"/>
            <w:vAlign w:val="center"/>
          </w:tcPr>
          <w:p w14:paraId="0E4643CB">
            <w:pPr>
              <w:keepNext w:val="0"/>
              <w:keepLines w:val="0"/>
              <w:pageBreakBefore w:val="0"/>
              <w:widowControl w:val="0"/>
              <w:spacing w:line="460" w:lineRule="exact"/>
              <w:jc w:val="left"/>
              <w:rPr>
                <w:rFonts w:hint="eastAsia" w:ascii="宋体" w:hAnsi="宋体" w:eastAsia="宋体" w:cs="宋体"/>
                <w:color w:val="auto"/>
                <w:sz w:val="24"/>
                <w:szCs w:val="24"/>
                <w:lang w:val="en-US" w:eastAsia="zh-CN" w:bidi="ar-SA"/>
              </w:rPr>
            </w:pPr>
            <w:r>
              <w:rPr>
                <w:rFonts w:hint="eastAsia" w:ascii="宋体" w:hAnsi="宋体" w:cs="宋体"/>
                <w:sz w:val="24"/>
                <w:szCs w:val="24"/>
              </w:rPr>
              <w:t>负责安保等工作，男性，60周岁以内，女性，55周岁以内，初中及以上学历，相关人员均应身体健康，责任心强，体态良好，接受过安全保卫或相关训练，熟悉相关法律法规，掌握基本安全保卫技能，有一定的</w:t>
            </w:r>
            <w:r>
              <w:rPr>
                <w:rFonts w:hint="eastAsia" w:ascii="宋体" w:hAnsi="宋体" w:cs="宋体"/>
                <w:sz w:val="24"/>
                <w:szCs w:val="20"/>
              </w:rPr>
              <w:t>应急救援能力，</w:t>
            </w:r>
            <w:r>
              <w:rPr>
                <w:rFonts w:hint="eastAsia" w:ascii="宋体" w:hAnsi="宋体" w:cs="宋体"/>
                <w:sz w:val="24"/>
                <w:szCs w:val="24"/>
              </w:rPr>
              <w:t>思想品质好，作风正派，五官端正，具备保安员证书，退伍军人最佳。</w:t>
            </w:r>
            <w:r>
              <w:rPr>
                <w:rFonts w:hint="eastAsia" w:ascii="仿宋" w:hAnsi="仿宋" w:eastAsia="仿宋" w:cs="仿宋"/>
                <w:color w:val="auto"/>
                <w:sz w:val="28"/>
                <w:szCs w:val="28"/>
                <w:lang w:val="en-US" w:eastAsia="zh-CN" w:bidi="ar-SA"/>
              </w:rPr>
              <w:t>（</w:t>
            </w:r>
            <w:r>
              <w:rPr>
                <w:rFonts w:hint="eastAsia" w:ascii="宋体" w:hAnsi="宋体" w:eastAsia="宋体" w:cs="宋体"/>
                <w:color w:val="auto"/>
                <w:sz w:val="24"/>
                <w:szCs w:val="24"/>
                <w:lang w:val="en-US" w:eastAsia="zh-CN"/>
              </w:rPr>
              <w:t>需值夜班）</w:t>
            </w:r>
            <w:r>
              <w:rPr>
                <w:rFonts w:hint="eastAsia" w:ascii="宋体" w:hAnsi="宋体" w:eastAsia="宋体" w:cs="宋体"/>
                <w:color w:val="auto"/>
                <w:sz w:val="24"/>
                <w:szCs w:val="24"/>
                <w:lang w:eastAsia="zh-CN"/>
              </w:rPr>
              <w:t>。</w:t>
            </w:r>
          </w:p>
        </w:tc>
      </w:tr>
      <w:tr w14:paraId="18513E2B">
        <w:tblPrEx>
          <w:tblCellMar>
            <w:top w:w="15" w:type="dxa"/>
            <w:left w:w="15" w:type="dxa"/>
            <w:bottom w:w="15" w:type="dxa"/>
            <w:right w:w="15" w:type="dxa"/>
          </w:tblCellMar>
        </w:tblPrEx>
        <w:trPr>
          <w:trHeight w:val="327" w:hRule="atLeast"/>
        </w:trPr>
        <w:tc>
          <w:tcPr>
            <w:tcW w:w="663" w:type="dxa"/>
            <w:tcBorders>
              <w:top w:val="single" w:color="000000" w:sz="4" w:space="0"/>
              <w:left w:val="single" w:color="auto" w:sz="4" w:space="0"/>
              <w:bottom w:val="single" w:color="000000" w:sz="4" w:space="0"/>
              <w:right w:val="single" w:color="auto" w:sz="4" w:space="0"/>
            </w:tcBorders>
            <w:noWrap w:val="0"/>
            <w:vAlign w:val="center"/>
          </w:tcPr>
          <w:p w14:paraId="0F56BD55">
            <w:pPr>
              <w:keepNext w:val="0"/>
              <w:keepLines w:val="0"/>
              <w:pageBreakBefore w:val="0"/>
              <w:spacing w:line="500" w:lineRule="exact"/>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673" w:type="dxa"/>
            <w:tcBorders>
              <w:top w:val="single" w:color="auto" w:sz="4" w:space="0"/>
              <w:left w:val="single" w:color="auto" w:sz="4" w:space="0"/>
              <w:bottom w:val="single" w:color="auto" w:sz="4" w:space="0"/>
              <w:right w:val="single" w:color="000000" w:sz="4" w:space="0"/>
            </w:tcBorders>
            <w:noWrap w:val="0"/>
            <w:vAlign w:val="center"/>
          </w:tcPr>
          <w:p w14:paraId="4C99D6F1">
            <w:pPr>
              <w:keepNext w:val="0"/>
              <w:keepLines w:val="0"/>
              <w:pageBreakBefore w:val="0"/>
              <w:widowControl/>
              <w:suppressLineNumbers w:val="0"/>
              <w:spacing w:line="50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保洁</w:t>
            </w:r>
          </w:p>
        </w:tc>
        <w:tc>
          <w:tcPr>
            <w:tcW w:w="750" w:type="dxa"/>
            <w:tcBorders>
              <w:top w:val="single" w:color="auto" w:sz="4" w:space="0"/>
              <w:left w:val="single" w:color="000000" w:sz="4" w:space="0"/>
              <w:bottom w:val="single" w:color="auto" w:sz="4" w:space="0"/>
              <w:right w:val="single" w:color="000000" w:sz="4" w:space="0"/>
            </w:tcBorders>
            <w:noWrap w:val="0"/>
            <w:vAlign w:val="center"/>
          </w:tcPr>
          <w:p w14:paraId="05EE5037">
            <w:pPr>
              <w:keepNext w:val="0"/>
              <w:keepLines w:val="0"/>
              <w:pageBreakBefore w:val="0"/>
              <w:widowControl/>
              <w:suppressLineNumbers w:val="0"/>
              <w:spacing w:line="500" w:lineRule="exact"/>
              <w:jc w:val="center"/>
              <w:rPr>
                <w:rFonts w:hint="eastAsia" w:ascii="宋体" w:hAnsi="宋体" w:eastAsia="宋体" w:cs="宋体"/>
                <w:color w:val="auto"/>
                <w:sz w:val="24"/>
                <w:szCs w:val="24"/>
              </w:rPr>
            </w:pPr>
            <w:r>
              <w:rPr>
                <w:rFonts w:hint="eastAsia" w:ascii="宋体" w:hAnsi="宋体" w:eastAsia="宋体" w:cs="宋体"/>
                <w:i w:val="0"/>
                <w:iCs w:val="0"/>
                <w:color w:val="auto"/>
                <w:sz w:val="24"/>
                <w:szCs w:val="24"/>
                <w:u w:val="none"/>
                <w:lang w:val="en-US" w:eastAsia="zh-CN" w:bidi="ar"/>
              </w:rPr>
              <w:t xml:space="preserve">7 </w:t>
            </w:r>
          </w:p>
        </w:tc>
        <w:tc>
          <w:tcPr>
            <w:tcW w:w="6000" w:type="dxa"/>
            <w:tcBorders>
              <w:top w:val="single" w:color="auto" w:sz="4" w:space="0"/>
              <w:left w:val="single" w:color="000000" w:sz="4" w:space="0"/>
              <w:bottom w:val="single" w:color="auto" w:sz="4" w:space="0"/>
              <w:right w:val="single" w:color="auto" w:sz="4" w:space="0"/>
            </w:tcBorders>
            <w:noWrap w:val="0"/>
            <w:vAlign w:val="center"/>
          </w:tcPr>
          <w:p w14:paraId="59721E6C">
            <w:pPr>
              <w:keepNext w:val="0"/>
              <w:keepLines w:val="0"/>
              <w:pageBreakBefore w:val="0"/>
              <w:widowControl w:val="0"/>
              <w:spacing w:line="460" w:lineRule="exact"/>
              <w:jc w:val="left"/>
              <w:rPr>
                <w:rFonts w:hint="eastAsia" w:ascii="宋体" w:hAnsi="宋体" w:eastAsia="宋体" w:cs="宋体"/>
                <w:color w:val="auto"/>
                <w:sz w:val="24"/>
                <w:szCs w:val="24"/>
              </w:rPr>
            </w:pPr>
            <w:r>
              <w:rPr>
                <w:rFonts w:hint="eastAsia" w:ascii="宋体" w:hAnsi="宋体" w:cs="宋体"/>
                <w:sz w:val="24"/>
                <w:szCs w:val="24"/>
              </w:rPr>
              <w:t>负责保洁服务。男性，60周岁，女性，55周岁以内，初中及以上学历，身体健康，能吃苦耐劳，责任心强，体态良好，具有相关保洁服务工作经历。具备保洁员职业技能等级证书者优先。</w:t>
            </w:r>
          </w:p>
        </w:tc>
      </w:tr>
      <w:tr w14:paraId="1B0BB79C">
        <w:tblPrEx>
          <w:tblCellMar>
            <w:top w:w="15" w:type="dxa"/>
            <w:left w:w="15" w:type="dxa"/>
            <w:bottom w:w="15" w:type="dxa"/>
            <w:right w:w="15" w:type="dxa"/>
          </w:tblCellMar>
        </w:tblPrEx>
        <w:trPr>
          <w:trHeight w:val="90" w:hRule="atLeast"/>
        </w:trPr>
        <w:tc>
          <w:tcPr>
            <w:tcW w:w="663" w:type="dxa"/>
            <w:tcBorders>
              <w:top w:val="single" w:color="000000" w:sz="4" w:space="0"/>
              <w:left w:val="single" w:color="auto" w:sz="4" w:space="0"/>
              <w:bottom w:val="single" w:color="000000" w:sz="4" w:space="0"/>
              <w:right w:val="single" w:color="auto" w:sz="4" w:space="0"/>
            </w:tcBorders>
            <w:noWrap w:val="0"/>
            <w:vAlign w:val="center"/>
          </w:tcPr>
          <w:p w14:paraId="7A5796A2">
            <w:pPr>
              <w:keepNext w:val="0"/>
              <w:keepLines w:val="0"/>
              <w:pageBreakBefore w:val="0"/>
              <w:spacing w:line="50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1673" w:type="dxa"/>
            <w:tcBorders>
              <w:top w:val="single" w:color="auto" w:sz="4" w:space="0"/>
              <w:left w:val="single" w:color="auto" w:sz="4" w:space="0"/>
              <w:bottom w:val="single" w:color="auto" w:sz="4" w:space="0"/>
              <w:right w:val="single" w:color="000000" w:sz="4" w:space="0"/>
            </w:tcBorders>
            <w:noWrap w:val="0"/>
            <w:vAlign w:val="center"/>
          </w:tcPr>
          <w:p w14:paraId="4947D4CC">
            <w:pPr>
              <w:keepNext w:val="0"/>
              <w:keepLines w:val="0"/>
              <w:pageBreakBefore w:val="0"/>
              <w:widowControl/>
              <w:suppressLineNumbers w:val="0"/>
              <w:spacing w:line="500" w:lineRule="exact"/>
              <w:jc w:val="center"/>
              <w:rPr>
                <w:rFonts w:hint="eastAsia" w:ascii="宋体" w:hAnsi="宋体" w:eastAsia="宋体" w:cs="宋体"/>
                <w:color w:val="auto"/>
                <w:sz w:val="24"/>
                <w:szCs w:val="24"/>
                <w:lang w:val="en-US" w:eastAsia="zh-CN"/>
              </w:rPr>
            </w:pPr>
            <w:r>
              <w:rPr>
                <w:rFonts w:hint="eastAsia"/>
                <w:color w:val="auto"/>
                <w:lang w:val="en-US" w:eastAsia="zh-CN"/>
              </w:rPr>
              <w:t xml:space="preserve"> 维修人员</w:t>
            </w:r>
            <w:r>
              <w:rPr>
                <w:rFonts w:hint="eastAsia" w:ascii="宋体" w:hAnsi="宋体" w:eastAsia="宋体" w:cs="宋体"/>
                <w:color w:val="auto"/>
                <w:sz w:val="24"/>
                <w:szCs w:val="24"/>
                <w:lang w:val="en-US" w:eastAsia="zh-CN"/>
              </w:rPr>
              <w:t xml:space="preserve"> </w:t>
            </w:r>
          </w:p>
        </w:tc>
        <w:tc>
          <w:tcPr>
            <w:tcW w:w="750" w:type="dxa"/>
            <w:tcBorders>
              <w:top w:val="single" w:color="auto" w:sz="4" w:space="0"/>
              <w:left w:val="single" w:color="000000" w:sz="4" w:space="0"/>
              <w:bottom w:val="single" w:color="auto" w:sz="4" w:space="0"/>
              <w:right w:val="single" w:color="000000" w:sz="4" w:space="0"/>
            </w:tcBorders>
            <w:noWrap w:val="0"/>
            <w:vAlign w:val="center"/>
          </w:tcPr>
          <w:p w14:paraId="3AB033FE">
            <w:pPr>
              <w:keepNext w:val="0"/>
              <w:keepLines w:val="0"/>
              <w:pageBreakBefore w:val="0"/>
              <w:widowControl/>
              <w:suppressLineNumbers w:val="0"/>
              <w:spacing w:line="500" w:lineRule="exact"/>
              <w:jc w:val="center"/>
              <w:rPr>
                <w:rFonts w:hint="default" w:ascii="宋体" w:hAnsi="宋体" w:eastAsia="宋体" w:cs="宋体"/>
                <w:color w:val="auto"/>
                <w:sz w:val="24"/>
                <w:szCs w:val="24"/>
                <w:lang w:val="en-US"/>
              </w:rPr>
            </w:pPr>
            <w:r>
              <w:rPr>
                <w:rFonts w:hint="eastAsia" w:ascii="宋体" w:hAnsi="宋体" w:eastAsia="宋体" w:cs="宋体"/>
                <w:i w:val="0"/>
                <w:iCs w:val="0"/>
                <w:color w:val="auto"/>
                <w:sz w:val="24"/>
                <w:szCs w:val="24"/>
                <w:u w:val="none"/>
                <w:lang w:val="en-US" w:eastAsia="zh-CN" w:bidi="ar"/>
              </w:rPr>
              <w:t xml:space="preserve"> 2</w:t>
            </w:r>
          </w:p>
        </w:tc>
        <w:tc>
          <w:tcPr>
            <w:tcW w:w="6000" w:type="dxa"/>
            <w:tcBorders>
              <w:top w:val="single" w:color="auto" w:sz="4" w:space="0"/>
              <w:left w:val="single" w:color="000000" w:sz="4" w:space="0"/>
              <w:bottom w:val="single" w:color="auto" w:sz="4" w:space="0"/>
              <w:right w:val="single" w:color="auto" w:sz="4" w:space="0"/>
            </w:tcBorders>
            <w:noWrap w:val="0"/>
            <w:vAlign w:val="center"/>
          </w:tcPr>
          <w:p w14:paraId="0B95C8A2">
            <w:pPr>
              <w:keepNext w:val="0"/>
              <w:keepLines w:val="0"/>
              <w:pageBreakBefore w:val="0"/>
              <w:widowControl w:val="0"/>
              <w:spacing w:line="460" w:lineRule="exact"/>
              <w:jc w:val="left"/>
              <w:rPr>
                <w:rFonts w:hint="eastAsia" w:ascii="宋体" w:hAnsi="宋体" w:cs="宋体"/>
                <w:sz w:val="24"/>
                <w:szCs w:val="24"/>
                <w:lang w:eastAsia="zh-CN"/>
              </w:rPr>
            </w:pPr>
            <w:r>
              <w:rPr>
                <w:rFonts w:hint="eastAsia" w:ascii="宋体" w:hAnsi="宋体" w:cs="宋体"/>
                <w:sz w:val="24"/>
                <w:szCs w:val="24"/>
                <w:lang w:val="en-US" w:eastAsia="zh-CN"/>
              </w:rPr>
              <w:t xml:space="preserve"> </w:t>
            </w:r>
            <w:r>
              <w:rPr>
                <w:rFonts w:hint="eastAsia" w:ascii="宋体" w:hAnsi="宋体" w:cs="宋体"/>
                <w:sz w:val="24"/>
                <w:szCs w:val="24"/>
              </w:rPr>
              <w:t>负责</w:t>
            </w:r>
            <w:r>
              <w:rPr>
                <w:rFonts w:hint="eastAsia" w:ascii="宋体" w:hAnsi="宋体" w:cs="宋体"/>
                <w:sz w:val="24"/>
                <w:szCs w:val="24"/>
                <w:lang w:val="en-US" w:eastAsia="zh-CN"/>
              </w:rPr>
              <w:t>日常</w:t>
            </w:r>
            <w:r>
              <w:rPr>
                <w:rFonts w:hint="eastAsia" w:ascii="宋体" w:hAnsi="宋体" w:cs="宋体"/>
                <w:sz w:val="24"/>
                <w:szCs w:val="24"/>
              </w:rPr>
              <w:t>水电维修服务。男性，60周岁以内，高中及以上学历，身体健康，能吃苦耐劳，责任心强，体态良好，有相关工作经历，未受过刑事处罚。持有相关工程专业证书（至少需要有低压电工作业证）、具有高压电工作业证</w:t>
            </w:r>
            <w:r>
              <w:rPr>
                <w:rFonts w:hint="eastAsia" w:ascii="宋体" w:hAnsi="宋体" w:cs="宋体"/>
                <w:sz w:val="24"/>
                <w:szCs w:val="24"/>
                <w:lang w:eastAsia="zh-CN"/>
              </w:rPr>
              <w:t>、</w:t>
            </w:r>
            <w:r>
              <w:rPr>
                <w:rFonts w:hint="eastAsia" w:ascii="宋体" w:hAnsi="宋体" w:cs="宋体"/>
                <w:sz w:val="24"/>
                <w:szCs w:val="24"/>
              </w:rPr>
              <w:t>中级及以上消防设施操作员证书的优先。</w:t>
            </w:r>
          </w:p>
        </w:tc>
      </w:tr>
    </w:tbl>
    <w:p w14:paraId="0DC2D953">
      <w:pPr>
        <w:keepNext w:val="0"/>
        <w:keepLines w:val="0"/>
        <w:pageBreakBefore w:val="0"/>
        <w:spacing w:line="500" w:lineRule="exact"/>
        <w:ind w:firstLine="420"/>
        <w:rPr>
          <w:rFonts w:hint="default" w:ascii="宋体" w:hAnsi="宋体" w:eastAsia="宋体" w:cs="宋体"/>
          <w:sz w:val="24"/>
          <w:szCs w:val="24"/>
          <w:lang w:val="en-US" w:eastAsia="zh-CN"/>
        </w:rPr>
      </w:pPr>
      <w:r>
        <w:rPr>
          <w:rFonts w:hint="eastAsia" w:ascii="宋体" w:hAnsi="宋体" w:eastAsia="宋体" w:cs="宋体"/>
          <w:sz w:val="24"/>
          <w:szCs w:val="24"/>
        </w:rPr>
        <w:t>注：</w:t>
      </w:r>
      <w:r>
        <w:rPr>
          <w:rFonts w:hint="eastAsia" w:ascii="宋体" w:hAnsi="宋体" w:eastAsia="宋体" w:cs="宋体"/>
          <w:sz w:val="24"/>
          <w:szCs w:val="24"/>
          <w:lang w:val="en-US" w:eastAsia="zh-CN"/>
        </w:rPr>
        <w:t>以上所有人员</w:t>
      </w:r>
      <w:r>
        <w:rPr>
          <w:rFonts w:hint="eastAsia" w:ascii="宋体" w:hAnsi="宋体" w:eastAsia="宋体" w:cs="宋体"/>
          <w:color w:val="333333"/>
          <w:sz w:val="24"/>
          <w:szCs w:val="24"/>
          <w:shd w:val="clear" w:color="auto" w:fill="FFFFFF"/>
        </w:rPr>
        <w:t>须身体健康、形象端正、无重大器官残疾或传染疾病，无不良嗜好</w:t>
      </w:r>
      <w:r>
        <w:rPr>
          <w:rFonts w:hint="eastAsia" w:ascii="宋体" w:hAnsi="宋体" w:eastAsia="宋体" w:cs="宋体"/>
          <w:color w:val="333333"/>
          <w:sz w:val="24"/>
          <w:szCs w:val="24"/>
          <w:shd w:val="clear" w:color="auto" w:fill="FFFFFF"/>
          <w:lang w:eastAsia="zh-CN"/>
        </w:rPr>
        <w:t>，</w:t>
      </w:r>
      <w:r>
        <w:rPr>
          <w:rFonts w:hint="eastAsia" w:ascii="宋体" w:hAnsi="宋体" w:eastAsia="宋体" w:cs="宋体"/>
          <w:color w:val="333333"/>
          <w:sz w:val="24"/>
          <w:szCs w:val="24"/>
          <w:shd w:val="clear" w:color="auto" w:fill="FFFFFF"/>
          <w:lang w:val="en-US" w:eastAsia="zh-CN"/>
        </w:rPr>
        <w:t>无犯罪记录</w:t>
      </w:r>
      <w:r>
        <w:rPr>
          <w:rFonts w:hint="eastAsia" w:ascii="宋体" w:hAnsi="宋体" w:eastAsia="宋体" w:cs="宋体"/>
          <w:color w:val="333333"/>
          <w:sz w:val="24"/>
          <w:szCs w:val="24"/>
          <w:shd w:val="clear" w:color="auto" w:fill="FFFFFF"/>
        </w:rPr>
        <w:t>；能对工作认真负责，所有人员均具有健康证。所有被聘员工收入保障及安全风险事项一律由</w:t>
      </w:r>
      <w:r>
        <w:rPr>
          <w:rFonts w:hint="eastAsia" w:ascii="宋体" w:hAnsi="宋体" w:eastAsia="宋体" w:cs="宋体"/>
          <w:color w:val="333333"/>
          <w:sz w:val="24"/>
          <w:szCs w:val="24"/>
          <w:shd w:val="clear" w:color="auto" w:fill="FFFFFF"/>
          <w:lang w:eastAsia="zh-CN"/>
        </w:rPr>
        <w:t>成交</w:t>
      </w:r>
      <w:r>
        <w:rPr>
          <w:rFonts w:hint="eastAsia" w:ascii="宋体" w:hAnsi="宋体" w:eastAsia="宋体" w:cs="宋体"/>
          <w:color w:val="333333"/>
          <w:sz w:val="24"/>
          <w:szCs w:val="24"/>
          <w:shd w:val="clear" w:color="auto" w:fill="FFFFFF"/>
        </w:rPr>
        <w:t>供应商负责。</w:t>
      </w:r>
      <w:r>
        <w:rPr>
          <w:rFonts w:hint="eastAsia" w:ascii="宋体" w:hAnsi="宋体" w:eastAsia="宋体" w:cs="宋体"/>
          <w:color w:val="333333"/>
          <w:sz w:val="24"/>
          <w:szCs w:val="24"/>
          <w:shd w:val="clear" w:color="auto" w:fill="FFFFFF"/>
          <w:lang w:val="en-US" w:eastAsia="zh-CN"/>
        </w:rPr>
        <w:t>成交供应商须按以上要求配备相关人员，要求具备相关执业证书的，</w:t>
      </w:r>
      <w:r>
        <w:rPr>
          <w:rFonts w:hint="eastAsia" w:ascii="宋体" w:hAnsi="宋体" w:eastAsia="宋体" w:cs="宋体"/>
          <w:sz w:val="24"/>
          <w:szCs w:val="24"/>
          <w:lang w:val="en-US" w:eastAsia="zh-CN"/>
        </w:rPr>
        <w:t>在签订合同时提供符合要求的人员</w:t>
      </w:r>
      <w:r>
        <w:rPr>
          <w:rFonts w:hint="eastAsia" w:ascii="宋体" w:hAnsi="宋体" w:eastAsia="宋体" w:cs="宋体"/>
          <w:color w:val="333333"/>
          <w:sz w:val="24"/>
          <w:szCs w:val="24"/>
          <w:shd w:val="clear" w:color="auto" w:fill="FFFFFF"/>
          <w:lang w:val="en-US" w:eastAsia="zh-CN"/>
        </w:rPr>
        <w:t>执业证书</w:t>
      </w:r>
      <w:r>
        <w:rPr>
          <w:rFonts w:hint="eastAsia" w:ascii="宋体" w:hAnsi="宋体" w:eastAsia="宋体" w:cs="宋体"/>
          <w:sz w:val="24"/>
          <w:szCs w:val="24"/>
          <w:lang w:val="en-US" w:eastAsia="zh-CN"/>
        </w:rPr>
        <w:t>。</w:t>
      </w:r>
    </w:p>
    <w:p w14:paraId="191EAE39">
      <w:pPr>
        <w:keepNext w:val="0"/>
        <w:keepLines w:val="0"/>
        <w:pageBreakBefore w:val="0"/>
        <w:widowControl w:val="0"/>
        <w:numPr>
          <w:ilvl w:val="0"/>
          <w:numId w:val="0"/>
        </w:numPr>
        <w:spacing w:line="500" w:lineRule="exact"/>
        <w:ind w:firstLine="482"/>
        <w:rPr>
          <w:rFonts w:hint="eastAsia" w:ascii="宋体" w:hAnsi="宋体" w:eastAsia="宋体" w:cs="宋体"/>
          <w:b/>
          <w:bCs/>
          <w:sz w:val="24"/>
          <w:szCs w:val="24"/>
        </w:rPr>
      </w:pPr>
      <w:r>
        <w:rPr>
          <w:rFonts w:hint="eastAsia" w:ascii="宋体" w:hAnsi="宋体" w:eastAsia="宋体" w:cs="宋体"/>
          <w:b/>
          <w:bCs/>
          <w:sz w:val="24"/>
          <w:szCs w:val="24"/>
          <w:lang w:val="en-US" w:eastAsia="zh-CN"/>
        </w:rPr>
        <w:t>5.</w:t>
      </w:r>
      <w:r>
        <w:rPr>
          <w:rFonts w:hint="eastAsia" w:ascii="宋体" w:hAnsi="宋体" w:eastAsia="宋体" w:cs="宋体"/>
          <w:b/>
          <w:bCs/>
          <w:sz w:val="24"/>
          <w:szCs w:val="24"/>
        </w:rPr>
        <w:t>其他约定</w:t>
      </w:r>
    </w:p>
    <w:p w14:paraId="78A0C5A9">
      <w:pPr>
        <w:keepNext w:val="0"/>
        <w:keepLines w:val="0"/>
        <w:pageBreakBefore w:val="0"/>
        <w:widowControl w:val="0"/>
        <w:numPr>
          <w:ilvl w:val="0"/>
          <w:numId w:val="0"/>
        </w:numPr>
        <w:spacing w:line="50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（1）</w:t>
      </w:r>
      <w:r>
        <w:rPr>
          <w:rFonts w:hint="eastAsia" w:ascii="宋体" w:hAnsi="宋体" w:eastAsia="宋体" w:cs="宋体"/>
          <w:sz w:val="24"/>
          <w:szCs w:val="24"/>
          <w:lang w:val="en-US" w:eastAsia="zh-CN"/>
        </w:rPr>
        <w:t>所有兼职岗位，在接到采购人工作安排时，成交供应商</w:t>
      </w:r>
      <w:r>
        <w:rPr>
          <w:rFonts w:hint="eastAsia" w:ascii="宋体" w:hAnsi="宋体" w:eastAsia="宋体" w:cs="宋体"/>
          <w:sz w:val="24"/>
          <w:szCs w:val="24"/>
        </w:rPr>
        <w:t>须安排人员随叫随到</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并及时完成采购人交代的工作。</w:t>
      </w:r>
    </w:p>
    <w:p w14:paraId="2EA878CE">
      <w:pPr>
        <w:keepNext w:val="0"/>
        <w:keepLines w:val="0"/>
        <w:pageBreakBefore w:val="0"/>
        <w:widowControl w:val="0"/>
        <w:numPr>
          <w:ilvl w:val="0"/>
          <w:numId w:val="0"/>
        </w:numPr>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（2）</w:t>
      </w:r>
      <w:r>
        <w:rPr>
          <w:rFonts w:hint="eastAsia" w:ascii="宋体" w:hAnsi="宋体" w:eastAsia="宋体" w:cs="宋体"/>
          <w:sz w:val="24"/>
          <w:szCs w:val="24"/>
        </w:rPr>
        <w:t>保安员在班时间根据</w:t>
      </w:r>
      <w:r>
        <w:rPr>
          <w:rFonts w:hint="eastAsia" w:ascii="宋体" w:hAnsi="宋体" w:eastAsia="宋体" w:cs="宋体"/>
          <w:sz w:val="24"/>
          <w:szCs w:val="24"/>
          <w:lang w:val="en-US" w:eastAsia="zh-CN"/>
        </w:rPr>
        <w:t>采购人</w:t>
      </w:r>
      <w:r>
        <w:rPr>
          <w:rFonts w:hint="eastAsia" w:ascii="宋体" w:hAnsi="宋体" w:eastAsia="宋体" w:cs="宋体"/>
          <w:sz w:val="24"/>
          <w:szCs w:val="24"/>
        </w:rPr>
        <w:t>安排执行，如遇有活动或临时需要延长工作时间或增加值班人数时，</w:t>
      </w:r>
      <w:r>
        <w:rPr>
          <w:rFonts w:hint="eastAsia" w:ascii="宋体" w:hAnsi="宋体" w:eastAsia="宋体" w:cs="宋体"/>
          <w:sz w:val="24"/>
          <w:szCs w:val="24"/>
          <w:lang w:val="en-US" w:eastAsia="zh-CN"/>
        </w:rPr>
        <w:t>成交供应商</w:t>
      </w:r>
      <w:r>
        <w:rPr>
          <w:rFonts w:hint="eastAsia" w:ascii="宋体" w:hAnsi="宋体" w:eastAsia="宋体" w:cs="宋体"/>
          <w:sz w:val="24"/>
          <w:szCs w:val="24"/>
        </w:rPr>
        <w:t>应无条件增加，且无加班费</w:t>
      </w:r>
      <w:r>
        <w:rPr>
          <w:rFonts w:hint="eastAsia" w:ascii="宋体" w:hAnsi="宋体" w:eastAsia="宋体" w:cs="宋体"/>
          <w:sz w:val="24"/>
          <w:szCs w:val="24"/>
          <w:lang w:eastAsia="zh-CN"/>
        </w:rPr>
        <w:t>。</w:t>
      </w:r>
    </w:p>
    <w:p w14:paraId="72531F9E">
      <w:pPr>
        <w:keepNext w:val="0"/>
        <w:keepLines w:val="0"/>
        <w:pageBreakBefore w:val="0"/>
        <w:widowControl w:val="0"/>
        <w:numPr>
          <w:ilvl w:val="0"/>
          <w:numId w:val="0"/>
        </w:numPr>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（3）</w:t>
      </w:r>
      <w:r>
        <w:rPr>
          <w:rFonts w:hint="eastAsia" w:ascii="宋体" w:hAnsi="宋体" w:eastAsia="宋体" w:cs="宋体"/>
          <w:sz w:val="24"/>
          <w:szCs w:val="24"/>
        </w:rPr>
        <w:t>最终报价应含所有</w:t>
      </w:r>
      <w:r>
        <w:rPr>
          <w:rFonts w:hint="eastAsia" w:ascii="宋体" w:hAnsi="宋体" w:eastAsia="宋体" w:cs="宋体"/>
          <w:sz w:val="24"/>
          <w:szCs w:val="24"/>
          <w:lang w:val="en-US" w:eastAsia="zh-CN"/>
        </w:rPr>
        <w:t>人员</w:t>
      </w:r>
      <w:r>
        <w:rPr>
          <w:rFonts w:hint="eastAsia" w:ascii="宋体" w:hAnsi="宋体" w:eastAsia="宋体" w:cs="宋体"/>
          <w:sz w:val="24"/>
          <w:szCs w:val="24"/>
        </w:rPr>
        <w:t>的工资、社保、公积金、福利费等</w:t>
      </w:r>
      <w:r>
        <w:rPr>
          <w:rFonts w:hint="eastAsia" w:ascii="宋体" w:hAnsi="宋体" w:eastAsia="宋体" w:cs="宋体"/>
          <w:sz w:val="24"/>
          <w:szCs w:val="24"/>
          <w:lang w:eastAsia="zh-CN"/>
        </w:rPr>
        <w:t>，</w:t>
      </w:r>
      <w:r>
        <w:rPr>
          <w:rFonts w:hint="eastAsia" w:ascii="宋体" w:hAnsi="宋体" w:eastAsia="宋体" w:cs="宋体"/>
          <w:sz w:val="24"/>
          <w:szCs w:val="24"/>
        </w:rPr>
        <w:t>营业利润、各项税金（含开票税金）、工作服装费用、国家法定假日加班费用</w:t>
      </w:r>
      <w:r>
        <w:rPr>
          <w:rFonts w:hint="eastAsia" w:ascii="宋体" w:hAnsi="宋体" w:eastAsia="宋体" w:cs="宋体"/>
          <w:sz w:val="24"/>
          <w:szCs w:val="24"/>
          <w:lang w:val="en-US" w:eastAsia="zh-CN"/>
        </w:rPr>
        <w:t>等以及</w:t>
      </w:r>
      <w:r>
        <w:rPr>
          <w:rFonts w:hint="eastAsia" w:ascii="宋体" w:hAnsi="宋体" w:eastAsia="宋体" w:cs="宋体"/>
          <w:sz w:val="24"/>
          <w:szCs w:val="24"/>
          <w:lang w:val="zh-CN"/>
        </w:rPr>
        <w:t>为完成</w:t>
      </w:r>
      <w:r>
        <w:rPr>
          <w:rFonts w:hint="eastAsia" w:ascii="宋体" w:hAnsi="宋体" w:eastAsia="宋体" w:cs="宋体"/>
          <w:sz w:val="24"/>
          <w:szCs w:val="24"/>
          <w:lang w:val="en-US" w:eastAsia="zh-CN"/>
        </w:rPr>
        <w:t>磋商</w:t>
      </w:r>
      <w:r>
        <w:rPr>
          <w:rFonts w:hint="eastAsia" w:ascii="宋体" w:hAnsi="宋体" w:eastAsia="宋体" w:cs="宋体"/>
          <w:sz w:val="24"/>
          <w:szCs w:val="24"/>
          <w:lang w:val="zh-CN"/>
        </w:rPr>
        <w:t>文件规定的</w:t>
      </w:r>
      <w:r>
        <w:rPr>
          <w:rFonts w:hint="eastAsia" w:ascii="宋体" w:hAnsi="宋体" w:eastAsia="宋体" w:cs="宋体"/>
          <w:sz w:val="24"/>
          <w:szCs w:val="24"/>
          <w:lang w:val="en-US" w:eastAsia="zh-CN"/>
        </w:rPr>
        <w:t>物业</w:t>
      </w:r>
      <w:r>
        <w:rPr>
          <w:rFonts w:hint="eastAsia" w:ascii="宋体" w:hAnsi="宋体" w:eastAsia="宋体" w:cs="宋体"/>
          <w:sz w:val="24"/>
          <w:szCs w:val="24"/>
          <w:lang w:val="zh-CN"/>
        </w:rPr>
        <w:t>服务工作所涉及到的一切相关费用</w:t>
      </w:r>
      <w:r>
        <w:rPr>
          <w:rFonts w:hint="eastAsia" w:ascii="宋体" w:hAnsi="宋体" w:eastAsia="宋体" w:cs="宋体"/>
          <w:sz w:val="24"/>
          <w:szCs w:val="24"/>
          <w:lang w:eastAsia="zh-CN"/>
        </w:rPr>
        <w:t>。</w:t>
      </w:r>
    </w:p>
    <w:p w14:paraId="604FB548">
      <w:pPr>
        <w:keepNext w:val="0"/>
        <w:keepLines w:val="0"/>
        <w:pageBreakBefore w:val="0"/>
        <w:widowControl w:val="0"/>
        <w:numPr>
          <w:ilvl w:val="0"/>
          <w:numId w:val="0"/>
        </w:numPr>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（4）</w:t>
      </w:r>
      <w:r>
        <w:rPr>
          <w:rFonts w:hint="eastAsia" w:ascii="宋体" w:hAnsi="宋体" w:eastAsia="宋体" w:cs="宋体"/>
          <w:sz w:val="24"/>
          <w:szCs w:val="24"/>
        </w:rPr>
        <w:t>加强安全教育与管理，保安</w:t>
      </w:r>
      <w:r>
        <w:rPr>
          <w:rFonts w:hint="eastAsia" w:ascii="宋体" w:hAnsi="宋体" w:eastAsia="宋体" w:cs="宋体"/>
          <w:sz w:val="24"/>
          <w:szCs w:val="24"/>
          <w:lang w:eastAsia="zh-CN"/>
        </w:rPr>
        <w:t>员</w:t>
      </w:r>
      <w:r>
        <w:rPr>
          <w:rFonts w:hint="eastAsia" w:ascii="宋体" w:hAnsi="宋体" w:eastAsia="宋体" w:cs="宋体"/>
          <w:sz w:val="24"/>
          <w:szCs w:val="24"/>
        </w:rPr>
        <w:t>、保洁员</w:t>
      </w:r>
      <w:r>
        <w:rPr>
          <w:rFonts w:hint="eastAsia" w:ascii="宋体" w:hAnsi="宋体" w:eastAsia="宋体" w:cs="宋体"/>
          <w:sz w:val="24"/>
          <w:szCs w:val="24"/>
          <w:lang w:eastAsia="zh-CN"/>
        </w:rPr>
        <w:t>、厨工在</w:t>
      </w:r>
      <w:r>
        <w:rPr>
          <w:rFonts w:hint="eastAsia" w:ascii="宋体" w:hAnsi="宋体" w:eastAsia="宋体" w:cs="宋体"/>
          <w:sz w:val="24"/>
          <w:szCs w:val="24"/>
        </w:rPr>
        <w:t>上下班途中</w:t>
      </w:r>
      <w:r>
        <w:rPr>
          <w:rFonts w:hint="eastAsia" w:ascii="宋体" w:hAnsi="宋体" w:eastAsia="宋体" w:cs="宋体"/>
          <w:sz w:val="24"/>
          <w:szCs w:val="24"/>
          <w:lang w:eastAsia="zh-CN"/>
        </w:rPr>
        <w:t>、在</w:t>
      </w:r>
      <w:r>
        <w:rPr>
          <w:rFonts w:hint="eastAsia" w:ascii="宋体" w:hAnsi="宋体" w:eastAsia="宋体" w:cs="宋体"/>
          <w:sz w:val="24"/>
          <w:szCs w:val="24"/>
        </w:rPr>
        <w:t>班过程中的一切安全问题都由</w:t>
      </w:r>
      <w:r>
        <w:rPr>
          <w:rFonts w:hint="eastAsia" w:ascii="宋体" w:hAnsi="宋体" w:eastAsia="宋体" w:cs="宋体"/>
          <w:sz w:val="24"/>
          <w:szCs w:val="24"/>
          <w:lang w:eastAsia="zh-CN"/>
        </w:rPr>
        <w:t>成交供应商</w:t>
      </w:r>
      <w:r>
        <w:rPr>
          <w:rFonts w:hint="eastAsia" w:ascii="宋体" w:hAnsi="宋体" w:eastAsia="宋体" w:cs="宋体"/>
          <w:sz w:val="24"/>
          <w:szCs w:val="24"/>
        </w:rPr>
        <w:t>承担，</w:t>
      </w:r>
      <w:r>
        <w:rPr>
          <w:rFonts w:hint="eastAsia" w:ascii="宋体" w:hAnsi="宋体" w:eastAsia="宋体" w:cs="宋体"/>
          <w:sz w:val="24"/>
          <w:szCs w:val="24"/>
          <w:lang w:val="en-US" w:eastAsia="zh-CN"/>
        </w:rPr>
        <w:t>采购人</w:t>
      </w:r>
      <w:r>
        <w:rPr>
          <w:rFonts w:hint="eastAsia" w:ascii="宋体" w:hAnsi="宋体" w:eastAsia="宋体" w:cs="宋体"/>
          <w:sz w:val="24"/>
          <w:szCs w:val="24"/>
        </w:rPr>
        <w:t>不承担任何经济或法律责任</w:t>
      </w:r>
      <w:r>
        <w:rPr>
          <w:rFonts w:hint="eastAsia" w:ascii="宋体" w:hAnsi="宋体" w:eastAsia="宋体" w:cs="宋体"/>
          <w:sz w:val="24"/>
          <w:szCs w:val="24"/>
          <w:lang w:eastAsia="zh-CN"/>
        </w:rPr>
        <w:t>。</w:t>
      </w:r>
    </w:p>
    <w:p w14:paraId="2F626696">
      <w:pPr>
        <w:keepNext w:val="0"/>
        <w:keepLines w:val="0"/>
        <w:pageBreakBefore w:val="0"/>
        <w:widowControl w:val="0"/>
        <w:numPr>
          <w:ilvl w:val="0"/>
          <w:numId w:val="0"/>
        </w:numPr>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（5）成交供应商</w:t>
      </w:r>
      <w:r>
        <w:rPr>
          <w:rFonts w:hint="eastAsia" w:ascii="宋体" w:hAnsi="宋体" w:eastAsia="宋体" w:cs="宋体"/>
          <w:sz w:val="24"/>
          <w:szCs w:val="24"/>
          <w:lang w:val="en-US" w:eastAsia="zh-CN"/>
        </w:rPr>
        <w:t>需</w:t>
      </w:r>
      <w:r>
        <w:rPr>
          <w:rFonts w:hint="eastAsia" w:ascii="宋体" w:hAnsi="宋体" w:eastAsia="宋体" w:cs="宋体"/>
          <w:sz w:val="24"/>
          <w:szCs w:val="24"/>
        </w:rPr>
        <w:t>加强对保安员的法纪教育和业务学习训练，至少每月组织一次理论和实践培训，定期组织对抗型、仿真式、实景化训练演练，确保保安员随时随地、以最优状态应对突发情况</w:t>
      </w:r>
      <w:r>
        <w:rPr>
          <w:rFonts w:hint="eastAsia" w:ascii="宋体" w:hAnsi="宋体" w:eastAsia="宋体" w:cs="宋体"/>
          <w:sz w:val="24"/>
          <w:szCs w:val="24"/>
          <w:lang w:eastAsia="zh-CN"/>
        </w:rPr>
        <w:t>。</w:t>
      </w:r>
    </w:p>
    <w:p w14:paraId="100C76F9">
      <w:pPr>
        <w:keepNext w:val="0"/>
        <w:keepLines w:val="0"/>
        <w:pageBreakBefore w:val="0"/>
        <w:widowControl w:val="0"/>
        <w:numPr>
          <w:ilvl w:val="0"/>
          <w:numId w:val="0"/>
        </w:numPr>
        <w:spacing w:line="500" w:lineRule="exact"/>
        <w:ind w:firstLine="480"/>
        <w:rPr>
          <w:rFonts w:hint="default"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6.考核要求： </w:t>
      </w:r>
      <w:r>
        <w:rPr>
          <w:rFonts w:hint="default" w:ascii="宋体" w:hAnsi="宋体" w:eastAsia="宋体" w:cs="宋体"/>
          <w:sz w:val="24"/>
          <w:szCs w:val="24"/>
          <w:lang w:val="en-US" w:eastAsia="zh-CN"/>
        </w:rPr>
        <w:t>（考核细则详见附件）</w:t>
      </w:r>
    </w:p>
    <w:p w14:paraId="5FBCA943">
      <w:pPr>
        <w:keepNext w:val="0"/>
        <w:keepLines w:val="0"/>
        <w:pageBreakBefore w:val="0"/>
        <w:widowControl w:val="0"/>
        <w:numPr>
          <w:ilvl w:val="0"/>
          <w:numId w:val="0"/>
        </w:numPr>
        <w:spacing w:line="500" w:lineRule="exact"/>
        <w:ind w:firstLine="480"/>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（1）采购人每月对供应商的服务质量开展考核评分，月考核加权得分不低于 90分，每低 1 分扣减服务费 2000 元；低于 80 分，采购人有权终止采购合同（月考核表详见附件）。 </w:t>
      </w:r>
    </w:p>
    <w:p w14:paraId="79B9104B">
      <w:pPr>
        <w:keepNext w:val="0"/>
        <w:keepLines w:val="0"/>
        <w:pageBreakBefore w:val="0"/>
        <w:widowControl w:val="0"/>
        <w:numPr>
          <w:ilvl w:val="0"/>
          <w:numId w:val="0"/>
        </w:numPr>
        <w:spacing w:line="500" w:lineRule="exact"/>
        <w:ind w:firstLine="480"/>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（2）所看护物品、设施被盗或被破坏负经济责任并修复。 </w:t>
      </w:r>
    </w:p>
    <w:p w14:paraId="2F0866DE">
      <w:pPr>
        <w:keepNext w:val="0"/>
        <w:keepLines w:val="0"/>
        <w:pageBreakBefore w:val="0"/>
        <w:widowControl w:val="0"/>
        <w:numPr>
          <w:ilvl w:val="0"/>
          <w:numId w:val="0"/>
        </w:numPr>
        <w:spacing w:line="500" w:lineRule="exact"/>
        <w:ind w:firstLine="480"/>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（3）在实际运行中，岗位数及人员数低于投标时的数量，每少一人扣除 1000 元 /天；连续三个日历日以上每缺一岗或一人扣除合同总价的 1%；连续十五个日历日以上缺岗或缺人视同违约并追责，采购人有权解除合同。 </w:t>
      </w:r>
    </w:p>
    <w:p w14:paraId="24315F45">
      <w:pPr>
        <w:keepNext w:val="0"/>
        <w:keepLines w:val="0"/>
        <w:pageBreakBefore w:val="0"/>
        <w:widowControl w:val="0"/>
        <w:numPr>
          <w:ilvl w:val="0"/>
          <w:numId w:val="0"/>
        </w:numPr>
        <w:spacing w:line="500" w:lineRule="exact"/>
        <w:ind w:firstLine="480"/>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（4）对于着装不整、不规范的现象每发现一次扣供应商 500 元；情节严重造成影响的，扣供应商 2000-3000 元不等。 </w:t>
      </w:r>
    </w:p>
    <w:p w14:paraId="1C052470">
      <w:pPr>
        <w:keepNext w:val="0"/>
        <w:keepLines w:val="0"/>
        <w:pageBreakBefore w:val="0"/>
        <w:widowControl w:val="0"/>
        <w:numPr>
          <w:ilvl w:val="0"/>
          <w:numId w:val="0"/>
        </w:numPr>
        <w:spacing w:line="500" w:lineRule="exact"/>
        <w:ind w:firstLine="480"/>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（5）凡发现不按时上下班、迟到早退的，扣供应商每人每次 500 元；凡发现当班睡觉扣供应商每人每次2000 元；凡发现不服从采购人及主管工作安排的扣供应商 3000 元；凡发现旷工或脱岗扣供应商每人每次 2000元；违反岗位职责的视情节严重扣供应商相应金额，造成损失的由供应商负全责；累计超过五次缺岗、睡岗、脱岗等，视同违约并追责，采购人有权解除合同。 </w:t>
      </w:r>
    </w:p>
    <w:p w14:paraId="1597B31F">
      <w:pPr>
        <w:keepNext w:val="0"/>
        <w:keepLines w:val="0"/>
        <w:pageBreakBefore w:val="0"/>
        <w:widowControl w:val="0"/>
        <w:numPr>
          <w:ilvl w:val="0"/>
          <w:numId w:val="0"/>
        </w:numPr>
        <w:spacing w:line="500" w:lineRule="exact"/>
        <w:ind w:firstLine="480"/>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 （6）</w:t>
      </w:r>
      <w:r>
        <w:rPr>
          <w:rFonts w:hint="eastAsia" w:ascii="宋体" w:hAnsi="宋体" w:eastAsia="宋体" w:cs="宋体"/>
          <w:sz w:val="24"/>
          <w:szCs w:val="24"/>
          <w:lang w:val="en-US" w:eastAsia="zh-CN"/>
        </w:rPr>
        <w:t>路面</w:t>
      </w:r>
      <w:r>
        <w:rPr>
          <w:rFonts w:hint="default" w:ascii="宋体" w:hAnsi="宋体" w:eastAsia="宋体" w:cs="宋体"/>
          <w:sz w:val="24"/>
          <w:szCs w:val="24"/>
          <w:lang w:val="en-US" w:eastAsia="zh-CN"/>
        </w:rPr>
        <w:t xml:space="preserve">、排水沟垃圾杂草清理不及时；垃圾桶不干净、有臭味；当班时看到服务区内任何地方有垃圾、脏物、杂物等不卫生现象，没有做到及时清理各扣 200 元。 </w:t>
      </w:r>
    </w:p>
    <w:p w14:paraId="7D7F7790">
      <w:pPr>
        <w:keepNext w:val="0"/>
        <w:keepLines w:val="0"/>
        <w:pageBreakBefore w:val="0"/>
        <w:widowControl w:val="0"/>
        <w:numPr>
          <w:ilvl w:val="0"/>
          <w:numId w:val="0"/>
        </w:numPr>
        <w:spacing w:line="500" w:lineRule="exact"/>
        <w:ind w:firstLine="480"/>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（7）多次违反工作纪律行为的人员，罚款均按照累计递增，并通报供应商对项目考核评分扣减，并有权解除合同。 </w:t>
      </w:r>
    </w:p>
    <w:p w14:paraId="362B489A">
      <w:pPr>
        <w:keepNext w:val="0"/>
        <w:keepLines w:val="0"/>
        <w:pageBreakBefore w:val="0"/>
        <w:widowControl w:val="0"/>
        <w:numPr>
          <w:ilvl w:val="0"/>
          <w:numId w:val="0"/>
        </w:numPr>
        <w:spacing w:line="500" w:lineRule="exact"/>
        <w:ind w:firstLine="480"/>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8）供应商物业人员名单及详细信息（包括但不限于身份证、无犯罪记录证明、健康证等）需于进场前在采购人处备案，如有人员调整需第一时间登记备案。巡查中如发现未备案人员上岗，视为该岗位缺岗，并依照考核内容第三条进行处罚。 </w:t>
      </w:r>
    </w:p>
    <w:p w14:paraId="6871993D">
      <w:pPr>
        <w:keepNext w:val="0"/>
        <w:keepLines w:val="0"/>
        <w:pageBreakBefore w:val="0"/>
        <w:widowControl w:val="0"/>
        <w:numPr>
          <w:ilvl w:val="0"/>
          <w:numId w:val="0"/>
        </w:numPr>
        <w:spacing w:line="500" w:lineRule="exact"/>
        <w:ind w:firstLine="480"/>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（9）本项目不得使用不符合年龄要求的人员，巡查中如发现不符合规定人员，视为该岗位缺岗，并依照考核内容第三条进行处罚。 </w:t>
      </w:r>
    </w:p>
    <w:p w14:paraId="11457389">
      <w:pPr>
        <w:keepNext w:val="0"/>
        <w:keepLines w:val="0"/>
        <w:pageBreakBefore w:val="0"/>
        <w:widowControl w:val="0"/>
        <w:numPr>
          <w:ilvl w:val="0"/>
          <w:numId w:val="0"/>
        </w:numPr>
        <w:spacing w:line="500" w:lineRule="exact"/>
        <w:ind w:firstLine="480"/>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（10）经查实，如果有未按时发放当月人员工资情况，在物业服务考核表中扣 10 分，累计 3 个月未按时发放，则采购人有权解除合同。 </w:t>
      </w:r>
    </w:p>
    <w:p w14:paraId="291B2D92">
      <w:pPr>
        <w:keepNext w:val="0"/>
        <w:keepLines w:val="0"/>
        <w:pageBreakBefore w:val="0"/>
        <w:widowControl w:val="0"/>
        <w:numPr>
          <w:ilvl w:val="0"/>
          <w:numId w:val="0"/>
        </w:numPr>
        <w:spacing w:line="500" w:lineRule="exact"/>
        <w:ind w:firstLine="480"/>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以上处罚均从当月物业服务费中扣除。</w:t>
      </w:r>
    </w:p>
    <w:p w14:paraId="76621FD3">
      <w:pPr>
        <w:keepNext w:val="0"/>
        <w:keepLines w:val="0"/>
        <w:pageBreakBefore w:val="0"/>
        <w:widowControl w:val="0"/>
        <w:numPr>
          <w:ilvl w:val="0"/>
          <w:numId w:val="0"/>
        </w:numPr>
        <w:spacing w:line="500" w:lineRule="exact"/>
        <w:ind w:firstLine="48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四、服务期限</w:t>
      </w:r>
    </w:p>
    <w:p w14:paraId="5C0CC350">
      <w:pPr>
        <w:keepNext w:val="0"/>
        <w:keepLines w:val="0"/>
        <w:pageBreakBefore w:val="0"/>
        <w:widowControl w:val="0"/>
        <w:numPr>
          <w:ilvl w:val="0"/>
          <w:numId w:val="0"/>
        </w:numPr>
        <w:spacing w:line="50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服务期为贰</w:t>
      </w:r>
      <w:r>
        <w:rPr>
          <w:rFonts w:hint="eastAsia" w:ascii="宋体" w:hAnsi="宋体" w:eastAsia="宋体" w:cs="宋体"/>
          <w:color w:val="auto"/>
          <w:sz w:val="24"/>
          <w:szCs w:val="24"/>
          <w:highlight w:val="none"/>
          <w:lang w:val="en-US" w:eastAsia="zh-CN"/>
        </w:rPr>
        <w:t>年(合同一年一签，经采购人考核合格后续签下一年合同)</w:t>
      </w:r>
      <w:r>
        <w:rPr>
          <w:rFonts w:hint="eastAsia" w:ascii="宋体" w:hAnsi="宋体" w:eastAsia="宋体" w:cs="宋体"/>
          <w:sz w:val="24"/>
          <w:szCs w:val="24"/>
          <w:lang w:val="en-US" w:eastAsia="zh-CN"/>
        </w:rPr>
        <w:t>。</w:t>
      </w:r>
    </w:p>
    <w:p w14:paraId="46F00762">
      <w:pPr>
        <w:keepNext w:val="0"/>
        <w:keepLines w:val="0"/>
        <w:pageBreakBefore w:val="0"/>
        <w:spacing w:line="500" w:lineRule="exact"/>
        <w:ind w:left="0" w:firstLine="420"/>
        <w:rPr>
          <w:rFonts w:hint="eastAsia" w:ascii="宋体" w:hAnsi="宋体" w:eastAsia="宋体" w:cs="宋体"/>
          <w:b/>
          <w:bCs/>
          <w:sz w:val="24"/>
          <w:szCs w:val="24"/>
        </w:rPr>
      </w:pPr>
      <w:r>
        <w:rPr>
          <w:rFonts w:hint="eastAsia" w:ascii="宋体" w:hAnsi="宋体" w:eastAsia="宋体" w:cs="宋体"/>
          <w:b/>
          <w:bCs/>
          <w:sz w:val="24"/>
          <w:szCs w:val="24"/>
          <w:lang w:val="en-US" w:eastAsia="zh-CN"/>
        </w:rPr>
        <w:t>五、</w:t>
      </w:r>
      <w:r>
        <w:rPr>
          <w:rFonts w:hint="eastAsia" w:ascii="宋体" w:hAnsi="宋体" w:eastAsia="宋体" w:cs="宋体"/>
          <w:b/>
          <w:bCs/>
          <w:sz w:val="24"/>
          <w:szCs w:val="24"/>
        </w:rPr>
        <w:t>付款方式</w:t>
      </w:r>
    </w:p>
    <w:p w14:paraId="7C7626A9">
      <w:pPr>
        <w:keepNext w:val="0"/>
        <w:keepLines w:val="0"/>
        <w:pageBreakBefore w:val="0"/>
        <w:widowControl/>
        <w:shd w:val="clear" w:color="auto" w:fill="FFFFFF"/>
        <w:spacing w:line="500" w:lineRule="exact"/>
        <w:ind w:left="0" w:right="0" w:firstLine="480"/>
        <w:jc w:val="left"/>
        <w:rPr>
          <w:rFonts w:hint="eastAsia" w:ascii="宋体" w:hAnsi="宋体" w:cs="宋体"/>
          <w:color w:val="auto"/>
          <w:sz w:val="24"/>
          <w:highlight w:val="none"/>
        </w:rPr>
      </w:pPr>
      <w:r>
        <w:rPr>
          <w:rFonts w:hint="eastAsia" w:ascii="宋体" w:hAnsi="宋体" w:cs="宋体"/>
          <w:color w:val="auto"/>
          <w:sz w:val="24"/>
          <w:highlight w:val="none"/>
        </w:rPr>
        <w:t>预付款支付时间：合同签订后，采购人收到预付款发票后10个工作日内，预付款支付比例：合同金额的30%。</w:t>
      </w:r>
    </w:p>
    <w:p w14:paraId="55895F7E">
      <w:pPr>
        <w:keepNext w:val="0"/>
        <w:keepLines w:val="0"/>
        <w:pageBreakBefore w:val="0"/>
        <w:widowControl/>
        <w:shd w:val="clear" w:color="auto" w:fill="FFFFFF"/>
        <w:spacing w:line="500" w:lineRule="exact"/>
        <w:ind w:left="0" w:right="0" w:firstLine="480"/>
        <w:jc w:val="left"/>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rPr>
        <w:t>尾款支付时间：服务标准达到招标人要</w:t>
      </w:r>
      <w:r>
        <w:rPr>
          <w:rFonts w:hint="eastAsia" w:ascii="宋体" w:hAnsi="宋体" w:eastAsia="宋体" w:cs="宋体"/>
          <w:color w:val="auto"/>
          <w:sz w:val="24"/>
          <w:highlight w:val="none"/>
          <w:lang w:eastAsia="zh-CN"/>
        </w:rPr>
        <w:t>求，满</w:t>
      </w:r>
      <w:r>
        <w:rPr>
          <w:rFonts w:hint="eastAsia" w:ascii="宋体" w:hAnsi="宋体" w:eastAsia="宋体" w:cs="宋体"/>
          <w:color w:val="auto"/>
          <w:sz w:val="24"/>
          <w:highlight w:val="none"/>
          <w:lang w:val="en-US" w:eastAsia="zh-CN"/>
        </w:rPr>
        <w:t>6个月的次月</w:t>
      </w:r>
      <w:r>
        <w:rPr>
          <w:rFonts w:hint="eastAsia" w:ascii="宋体" w:hAnsi="宋体" w:cs="宋体"/>
          <w:color w:val="auto"/>
          <w:sz w:val="24"/>
          <w:highlight w:val="none"/>
        </w:rPr>
        <w:t>支付半年的物</w:t>
      </w:r>
      <w:r>
        <w:rPr>
          <w:rFonts w:hint="eastAsia" w:ascii="宋体" w:hAnsi="宋体" w:eastAsia="宋体" w:cs="宋体"/>
          <w:color w:val="auto"/>
          <w:sz w:val="24"/>
          <w:highlight w:val="none"/>
          <w:lang w:eastAsia="zh-CN"/>
        </w:rPr>
        <w:t>业服务费用，须提供财务部门提供的增值税发票。</w:t>
      </w:r>
    </w:p>
    <w:p w14:paraId="3ADED524">
      <w:pPr>
        <w:keepNext w:val="0"/>
        <w:keepLines w:val="0"/>
        <w:pageBreakBefore w:val="0"/>
        <w:widowControl w:val="0"/>
        <w:spacing w:line="500" w:lineRule="exact"/>
        <w:ind w:left="0" w:right="0" w:firstLine="482"/>
        <w:rPr>
          <w:rFonts w:hint="default" w:ascii="宋体" w:hAnsi="宋体" w:cs="宋体"/>
          <w:color w:val="auto"/>
          <w:sz w:val="24"/>
          <w:highlight w:val="green"/>
          <w:lang w:val="en-US"/>
        </w:rPr>
      </w:pPr>
      <w:r>
        <w:rPr>
          <w:rFonts w:hint="eastAsia" w:ascii="宋体" w:hAnsi="宋体" w:eastAsia="宋体" w:cs="宋体"/>
          <w:b w:val="0"/>
          <w:bCs/>
          <w:color w:val="auto"/>
          <w:sz w:val="24"/>
          <w:highlight w:val="none"/>
        </w:rPr>
        <w:t>注：在签订合同时，</w:t>
      </w:r>
      <w:r>
        <w:rPr>
          <w:rFonts w:hint="eastAsia" w:ascii="宋体" w:hAnsi="宋体" w:eastAsia="宋体" w:cs="宋体"/>
          <w:b w:val="0"/>
          <w:bCs/>
          <w:color w:val="auto"/>
          <w:sz w:val="24"/>
          <w:highlight w:val="none"/>
          <w:lang w:eastAsia="zh-CN"/>
        </w:rPr>
        <w:t>采购供应商</w:t>
      </w:r>
      <w:r>
        <w:rPr>
          <w:rFonts w:hint="eastAsia" w:ascii="宋体" w:hAnsi="宋体" w:eastAsia="宋体" w:cs="宋体"/>
          <w:b w:val="0"/>
          <w:bCs/>
          <w:color w:val="auto"/>
          <w:sz w:val="24"/>
          <w:highlight w:val="none"/>
        </w:rPr>
        <w:t>明确表示无需预付款或者主动要求降低预付款比例的金额，</w:t>
      </w:r>
      <w:r>
        <w:rPr>
          <w:rFonts w:hint="eastAsia" w:ascii="宋体" w:hAnsi="宋体" w:eastAsia="宋体" w:cs="宋体"/>
          <w:b w:val="0"/>
          <w:bCs/>
          <w:color w:val="auto"/>
          <w:sz w:val="24"/>
          <w:highlight w:val="none"/>
          <w:lang w:val="en-US" w:eastAsia="zh-CN"/>
        </w:rPr>
        <w:t>采购人</w:t>
      </w:r>
      <w:r>
        <w:rPr>
          <w:rFonts w:hint="eastAsia" w:ascii="宋体" w:hAnsi="宋体" w:eastAsia="宋体" w:cs="宋体"/>
          <w:b w:val="0"/>
          <w:bCs/>
          <w:color w:val="auto"/>
          <w:sz w:val="24"/>
          <w:highlight w:val="none"/>
        </w:rPr>
        <w:t>可不适用预付款规定,但</w:t>
      </w:r>
      <w:r>
        <w:rPr>
          <w:rFonts w:hint="eastAsia" w:ascii="宋体" w:hAnsi="宋体" w:eastAsia="宋体" w:cs="宋体"/>
          <w:b w:val="0"/>
          <w:bCs/>
          <w:color w:val="auto"/>
          <w:sz w:val="24"/>
          <w:highlight w:val="none"/>
          <w:lang w:eastAsia="zh-CN"/>
        </w:rPr>
        <w:t>采购供应商</w:t>
      </w:r>
      <w:r>
        <w:rPr>
          <w:rFonts w:hint="eastAsia" w:ascii="宋体" w:hAnsi="宋体" w:eastAsia="宋体" w:cs="宋体"/>
          <w:b w:val="0"/>
          <w:bCs/>
          <w:color w:val="auto"/>
          <w:sz w:val="24"/>
          <w:highlight w:val="none"/>
        </w:rPr>
        <w:t>需提供书面声明，采购人可就预付款比例</w:t>
      </w:r>
      <w:r>
        <w:rPr>
          <w:rFonts w:hint="eastAsia" w:ascii="宋体" w:hAnsi="宋体" w:cs="宋体"/>
          <w:color w:val="auto"/>
          <w:sz w:val="24"/>
          <w:highlight w:val="none"/>
          <w:lang w:val="zh-CN"/>
        </w:rPr>
        <w:t>作相应调整。</w:t>
      </w:r>
    </w:p>
    <w:p w14:paraId="534E1052">
      <w:pPr>
        <w:keepNext w:val="0"/>
        <w:keepLines w:val="0"/>
        <w:pageBreakBefore w:val="0"/>
        <w:widowControl w:val="0"/>
        <w:spacing w:line="500" w:lineRule="exact"/>
        <w:ind w:left="0" w:right="0" w:firstLine="482"/>
        <w:rPr>
          <w:rFonts w:hint="eastAsia" w:ascii="宋体" w:hAnsi="宋体" w:eastAsia="宋体" w:cs="宋体"/>
          <w:b/>
          <w:bCs/>
          <w:sz w:val="24"/>
          <w:szCs w:val="24"/>
        </w:rPr>
      </w:pPr>
      <w:r>
        <w:rPr>
          <w:rFonts w:hint="eastAsia" w:ascii="宋体" w:hAnsi="宋体" w:eastAsia="宋体" w:cs="宋体"/>
          <w:b/>
          <w:bCs/>
          <w:sz w:val="24"/>
          <w:szCs w:val="24"/>
          <w:lang w:val="en-US" w:eastAsia="zh-CN"/>
        </w:rPr>
        <w:t>六、</w:t>
      </w:r>
      <w:r>
        <w:rPr>
          <w:rFonts w:hint="eastAsia" w:ascii="宋体" w:hAnsi="宋体" w:eastAsia="宋体" w:cs="宋体"/>
          <w:b/>
          <w:bCs/>
          <w:sz w:val="24"/>
          <w:szCs w:val="24"/>
        </w:rPr>
        <w:t>特别说明</w:t>
      </w:r>
    </w:p>
    <w:p w14:paraId="2019C190">
      <w:pPr>
        <w:keepNext w:val="0"/>
        <w:keepLines w:val="0"/>
        <w:pageBreakBefore w:val="0"/>
        <w:widowControl w:val="0"/>
        <w:spacing w:line="500" w:lineRule="exact"/>
        <w:ind w:left="0" w:right="0" w:firstLine="482"/>
        <w:rPr>
          <w:rFonts w:hint="eastAsia" w:ascii="宋体" w:hAnsi="宋体" w:eastAsia="宋体" w:cs="宋体"/>
          <w:b/>
          <w:bCs/>
          <w:sz w:val="24"/>
          <w:szCs w:val="24"/>
          <w:lang w:val="en-US" w:eastAsia="zh-CN" w:bidi="ar-SA"/>
        </w:rPr>
      </w:pPr>
      <w:r>
        <w:rPr>
          <w:rFonts w:hint="eastAsia" w:ascii="宋体" w:hAnsi="宋体" w:eastAsia="宋体" w:cs="宋体"/>
          <w:b/>
          <w:bCs w:val="0"/>
          <w:sz w:val="24"/>
          <w:szCs w:val="24"/>
          <w:lang w:eastAsia="zh-CN"/>
        </w:rPr>
        <w:t>本项目</w:t>
      </w:r>
      <w:r>
        <w:rPr>
          <w:rFonts w:hint="eastAsia" w:ascii="宋体" w:hAnsi="宋体" w:eastAsia="宋体" w:cs="宋体"/>
          <w:b/>
          <w:bCs w:val="0"/>
          <w:sz w:val="24"/>
          <w:szCs w:val="24"/>
        </w:rPr>
        <w:t>须向第</w:t>
      </w:r>
      <w:r>
        <w:rPr>
          <w:rFonts w:hint="eastAsia" w:ascii="宋体" w:hAnsi="宋体" w:eastAsia="宋体" w:cs="宋体"/>
          <w:b/>
          <w:bCs w:val="0"/>
          <w:sz w:val="24"/>
          <w:szCs w:val="24"/>
          <w:lang w:val="en-US" w:eastAsia="zh-CN"/>
        </w:rPr>
        <w:t>三</w:t>
      </w:r>
      <w:r>
        <w:rPr>
          <w:rFonts w:hint="eastAsia" w:ascii="宋体" w:hAnsi="宋体" w:eastAsia="宋体" w:cs="宋体"/>
          <w:b/>
          <w:bCs w:val="0"/>
          <w:sz w:val="24"/>
          <w:szCs w:val="24"/>
        </w:rPr>
        <w:t>方咨询公司支付咨询服务相关费用</w:t>
      </w:r>
      <w:r>
        <w:rPr>
          <w:rFonts w:hint="eastAsia" w:ascii="宋体" w:hAnsi="宋体" w:eastAsia="宋体" w:cs="宋体"/>
          <w:b/>
          <w:bCs w:val="0"/>
          <w:sz w:val="24"/>
          <w:szCs w:val="24"/>
          <w:lang w:eastAsia="zh-CN"/>
        </w:rPr>
        <w:t>，按业务咨询合同由采购人支付。</w:t>
      </w:r>
    </w:p>
    <w:p w14:paraId="73C20772">
      <w:pPr>
        <w:pStyle w:val="32"/>
        <w:keepNext w:val="0"/>
        <w:keepLines w:val="0"/>
        <w:pageBreakBefore w:val="0"/>
        <w:spacing w:beforeAutospacing="0" w:afterAutospacing="0" w:line="500" w:lineRule="exact"/>
        <w:ind w:left="0" w:firstLine="482"/>
        <w:jc w:val="both"/>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七、采购标的对应的中小企业划分标准所属行业一览表</w:t>
      </w:r>
    </w:p>
    <w:tbl>
      <w:tblPr>
        <w:tblStyle w:val="35"/>
        <w:tblW w:w="8854" w:type="dxa"/>
        <w:tblCellSpacing w:w="0" w:type="dxa"/>
        <w:tblInd w:w="0" w:type="dxa"/>
        <w:tblLayout w:type="fixed"/>
        <w:tblCellMar>
          <w:top w:w="0" w:type="dxa"/>
          <w:left w:w="108" w:type="dxa"/>
          <w:bottom w:w="0" w:type="dxa"/>
          <w:right w:w="108" w:type="dxa"/>
        </w:tblCellMar>
      </w:tblPr>
      <w:tblGrid>
        <w:gridCol w:w="900"/>
        <w:gridCol w:w="4249"/>
        <w:gridCol w:w="3705"/>
      </w:tblGrid>
      <w:tr w14:paraId="41E2B2F5">
        <w:trPr>
          <w:trHeight w:val="706" w:hRule="atLeast"/>
          <w:tblCellSpacing w:w="0" w:type="dxa"/>
        </w:trPr>
        <w:tc>
          <w:tcPr>
            <w:tcW w:w="9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4B9A92">
            <w:pPr>
              <w:keepNext w:val="0"/>
              <w:keepLines w:val="0"/>
              <w:pageBreakBefore w:val="0"/>
              <w:spacing w:line="500" w:lineRule="exact"/>
              <w:jc w:val="center"/>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序号</w:t>
            </w:r>
          </w:p>
        </w:tc>
        <w:tc>
          <w:tcPr>
            <w:tcW w:w="42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2EF886">
            <w:pPr>
              <w:keepNext w:val="0"/>
              <w:keepLines w:val="0"/>
              <w:pageBreakBefore w:val="0"/>
              <w:spacing w:line="500" w:lineRule="exact"/>
              <w:jc w:val="center"/>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采购标的</w:t>
            </w:r>
          </w:p>
        </w:tc>
        <w:tc>
          <w:tcPr>
            <w:tcW w:w="37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968FEB">
            <w:pPr>
              <w:keepNext w:val="0"/>
              <w:keepLines w:val="0"/>
              <w:pageBreakBefore w:val="0"/>
              <w:spacing w:line="500" w:lineRule="exact"/>
              <w:jc w:val="center"/>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对应中小企业划分标准所属行业</w:t>
            </w:r>
          </w:p>
        </w:tc>
      </w:tr>
      <w:tr w14:paraId="343DA55A">
        <w:tblPrEx>
          <w:tblCellMar>
            <w:top w:w="0" w:type="dxa"/>
            <w:left w:w="108" w:type="dxa"/>
            <w:bottom w:w="0" w:type="dxa"/>
            <w:right w:w="108" w:type="dxa"/>
          </w:tblCellMar>
        </w:tblPrEx>
        <w:trPr>
          <w:trHeight w:val="646" w:hRule="atLeast"/>
          <w:tblCellSpacing w:w="0" w:type="dxa"/>
        </w:trPr>
        <w:tc>
          <w:tcPr>
            <w:tcW w:w="9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DE12E9">
            <w:pPr>
              <w:keepNext w:val="0"/>
              <w:keepLines w:val="0"/>
              <w:pageBreakBefore w:val="0"/>
              <w:spacing w:line="500" w:lineRule="exact"/>
              <w:jc w:val="center"/>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1</w:t>
            </w:r>
          </w:p>
        </w:tc>
        <w:tc>
          <w:tcPr>
            <w:tcW w:w="42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BB4462">
            <w:pPr>
              <w:keepNext w:val="0"/>
              <w:keepLines w:val="0"/>
              <w:pageBreakBefore w:val="0"/>
              <w:widowControl w:val="0"/>
              <w:spacing w:line="500" w:lineRule="exact"/>
              <w:jc w:val="center"/>
              <w:rPr>
                <w:rFonts w:hint="eastAsia" w:ascii="宋体" w:hAnsi="宋体" w:eastAsia="宋体" w:cs="宋体"/>
                <w:b/>
                <w:bCs/>
                <w:sz w:val="24"/>
                <w:szCs w:val="24"/>
                <w:shd w:val="clear" w:color="auto" w:fill="FFFFFF"/>
                <w:lang w:eastAsia="zh-CN"/>
              </w:rPr>
            </w:pPr>
            <w:r>
              <w:rPr>
                <w:rFonts w:hint="eastAsia" w:eastAsia="宋体"/>
                <w:b/>
                <w:bCs w:val="0"/>
                <w:sz w:val="24"/>
                <w:szCs w:val="24"/>
                <w:lang w:eastAsia="zh-CN"/>
              </w:rPr>
              <w:t>射阳港经济开发区美食广场等物业服务项目采购项目</w:t>
            </w:r>
          </w:p>
        </w:tc>
        <w:tc>
          <w:tcPr>
            <w:tcW w:w="37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94A9A1">
            <w:pPr>
              <w:keepNext w:val="0"/>
              <w:keepLines w:val="0"/>
              <w:pageBreakBefore w:val="0"/>
              <w:spacing w:line="500" w:lineRule="exact"/>
              <w:jc w:val="center"/>
              <w:rPr>
                <w:rFonts w:hint="eastAsia" w:ascii="宋体" w:hAnsi="宋体" w:eastAsia="宋体" w:cs="宋体"/>
                <w:b/>
                <w:bCs/>
                <w:sz w:val="24"/>
                <w:szCs w:val="24"/>
                <w:shd w:val="clear" w:color="auto" w:fill="FFFFFF"/>
                <w:lang w:eastAsia="zh-CN"/>
              </w:rPr>
            </w:pPr>
            <w:r>
              <w:rPr>
                <w:rFonts w:hint="eastAsia" w:ascii="宋体" w:hAnsi="宋体" w:eastAsia="宋体" w:cs="宋体"/>
                <w:b/>
                <w:bCs/>
                <w:sz w:val="24"/>
                <w:szCs w:val="24"/>
                <w:shd w:val="clear" w:color="auto" w:fill="FFFFFF"/>
              </w:rPr>
              <w:t>物业</w:t>
            </w:r>
            <w:r>
              <w:rPr>
                <w:rFonts w:hint="eastAsia" w:ascii="宋体" w:hAnsi="宋体" w:eastAsia="宋体" w:cs="宋体"/>
                <w:b/>
                <w:bCs/>
                <w:sz w:val="24"/>
                <w:szCs w:val="24"/>
                <w:shd w:val="clear" w:color="auto" w:fill="FFFFFF"/>
                <w:lang w:val="en-US" w:eastAsia="zh-CN"/>
              </w:rPr>
              <w:t>管理</w:t>
            </w:r>
          </w:p>
        </w:tc>
      </w:tr>
    </w:tbl>
    <w:p w14:paraId="1405BEB1">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00" w:lineRule="exact"/>
        <w:ind w:left="0" w:right="0" w:firstLine="0"/>
        <w:jc w:val="center"/>
        <w:rPr>
          <w:rFonts w:hint="eastAsia" w:ascii="宋体" w:hAnsi="宋体" w:eastAsia="宋体" w:cs="宋体"/>
          <w:color w:val="auto"/>
          <w:highlight w:val="none"/>
          <w:shd w:val="clear" w:color="auto" w:fill="auto"/>
        </w:rPr>
      </w:pPr>
    </w:p>
    <w:p w14:paraId="556CF1ED">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00" w:lineRule="exact"/>
        <w:ind w:left="0" w:right="0" w:firstLine="0"/>
        <w:jc w:val="center"/>
        <w:rPr>
          <w:rFonts w:hint="eastAsia" w:ascii="宋体" w:hAnsi="宋体" w:eastAsia="宋体" w:cs="宋体"/>
          <w:color w:val="auto"/>
          <w:highlight w:val="none"/>
          <w:shd w:val="clear" w:color="auto" w:fill="auto"/>
        </w:rPr>
      </w:pPr>
    </w:p>
    <w:p w14:paraId="002A7FD0">
      <w:pP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br w:type="page"/>
      </w:r>
    </w:p>
    <w:p w14:paraId="181F4ECF">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00" w:lineRule="exact"/>
        <w:ind w:left="0" w:right="0" w:firstLine="0"/>
        <w:jc w:val="both"/>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t>附件</w:t>
      </w:r>
    </w:p>
    <w:p w14:paraId="166678B4">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pPr>
      <w:r>
        <w:rPr>
          <w:rFonts w:hint="eastAsia" w:ascii="黑体" w:hAnsi="宋体" w:eastAsia="黑体" w:cs="黑体"/>
          <w:b/>
          <w:bCs/>
          <w:color w:val="000000"/>
          <w:sz w:val="48"/>
          <w:szCs w:val="48"/>
          <w:lang w:val="en-US" w:eastAsia="zh-CN"/>
        </w:rPr>
        <w:t xml:space="preserve"> </w:t>
      </w:r>
      <w:r>
        <w:rPr>
          <w:rFonts w:hint="eastAsia" w:ascii="黑体" w:hAnsi="宋体" w:eastAsia="黑体" w:cs="黑体"/>
          <w:b/>
          <w:bCs/>
          <w:color w:val="000000"/>
          <w:sz w:val="48"/>
          <w:szCs w:val="48"/>
        </w:rPr>
        <w:t>物业服务考核表</w:t>
      </w:r>
    </w:p>
    <w:tbl>
      <w:tblPr>
        <w:tblStyle w:val="35"/>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01"/>
        <w:gridCol w:w="3993"/>
        <w:gridCol w:w="1265"/>
        <w:gridCol w:w="2015"/>
        <w:gridCol w:w="727"/>
        <w:gridCol w:w="761"/>
      </w:tblGrid>
      <w:tr w14:paraId="6FC69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48" w:hRule="atLeast"/>
          <w:tblCellSpacing w:w="0" w:type="dxa"/>
          <w:jc w:val="center"/>
        </w:trPr>
        <w:tc>
          <w:tcPr>
            <w:tcW w:w="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0162F">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rPr>
                <w:rFonts w:hint="eastAsia" w:ascii="黑体" w:hAnsi="宋体" w:eastAsia="黑体" w:cs="黑体"/>
                <w:b/>
                <w:bCs/>
                <w:color w:val="000000"/>
                <w:sz w:val="48"/>
                <w:szCs w:val="48"/>
                <w:lang w:val="en-US" w:eastAsia="zh-CN"/>
              </w:rPr>
              <w:t xml:space="preserve"> </w:t>
            </w:r>
            <w:r>
              <w:rPr>
                <w:rFonts w:hint="eastAsia" w:ascii="宋体" w:hAnsi="宋体" w:eastAsia="宋体" w:cs="宋体"/>
                <w:color w:val="000000"/>
                <w:sz w:val="24"/>
                <w:szCs w:val="24"/>
              </w:rPr>
              <w:t>考核时间</w:t>
            </w:r>
          </w:p>
        </w:tc>
        <w:tc>
          <w:tcPr>
            <w:tcW w:w="87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DB40FF1">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200"/>
            </w:pPr>
            <w:r>
              <w:rPr>
                <w:rFonts w:hint="eastAsia" w:ascii="宋体" w:hAnsi="宋体" w:eastAsia="宋体" w:cs="宋体"/>
                <w:color w:val="000000"/>
                <w:sz w:val="24"/>
                <w:szCs w:val="24"/>
              </w:rPr>
              <w:t>年     月    日  至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年      月    日</w:t>
            </w:r>
          </w:p>
        </w:tc>
      </w:tr>
      <w:tr w14:paraId="66A2A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2" w:hRule="atLeast"/>
          <w:tblCellSpacing w:w="0" w:type="dxa"/>
          <w:jc w:val="center"/>
        </w:trPr>
        <w:tc>
          <w:tcPr>
            <w:tcW w:w="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1650E">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rPr>
                <w:rFonts w:hint="eastAsia" w:ascii="宋体" w:hAnsi="宋体" w:eastAsia="宋体" w:cs="宋体"/>
                <w:color w:val="000000"/>
                <w:sz w:val="24"/>
                <w:szCs w:val="24"/>
              </w:rPr>
              <w:t>考核对象</w:t>
            </w:r>
          </w:p>
        </w:tc>
        <w:tc>
          <w:tcPr>
            <w:tcW w:w="3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145A5">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020AF">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rPr>
                <w:rFonts w:hint="eastAsia" w:ascii="宋体" w:hAnsi="宋体" w:eastAsia="宋体" w:cs="宋体"/>
                <w:color w:val="000000"/>
                <w:sz w:val="24"/>
                <w:szCs w:val="24"/>
              </w:rPr>
              <w:t>服务区域</w:t>
            </w:r>
          </w:p>
        </w:tc>
        <w:tc>
          <w:tcPr>
            <w:tcW w:w="350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2821196">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tc>
      </w:tr>
      <w:tr w14:paraId="0A01F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6" w:hRule="atLeast"/>
          <w:tblCellSpacing w:w="0" w:type="dxa"/>
          <w:jc w:val="center"/>
        </w:trPr>
        <w:tc>
          <w:tcPr>
            <w:tcW w:w="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B5317">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rPr>
                <w:rFonts w:hint="eastAsia" w:ascii="宋体" w:hAnsi="宋体" w:eastAsia="宋体" w:cs="宋体"/>
                <w:color w:val="000000"/>
                <w:sz w:val="24"/>
                <w:szCs w:val="24"/>
              </w:rPr>
              <w:t>考评单位</w:t>
            </w:r>
          </w:p>
        </w:tc>
        <w:tc>
          <w:tcPr>
            <w:tcW w:w="87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D46143B">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rFonts w:hint="eastAsia" w:eastAsia="宋体"/>
                <w:lang w:eastAsia="zh-CN"/>
              </w:rPr>
            </w:pPr>
            <w:r>
              <w:rPr>
                <w:rFonts w:hint="eastAsia" w:ascii="宋体" w:hAnsi="宋体" w:eastAsia="宋体" w:cs="宋体"/>
                <w:color w:val="000000"/>
                <w:sz w:val="24"/>
                <w:szCs w:val="24"/>
                <w:lang w:val="en-US" w:eastAsia="zh-CN"/>
              </w:rPr>
              <w:t xml:space="preserve"> </w:t>
            </w:r>
          </w:p>
        </w:tc>
      </w:tr>
      <w:tr w14:paraId="5713B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2" w:hRule="atLeast"/>
          <w:tblCellSpacing w:w="0" w:type="dxa"/>
          <w:jc w:val="center"/>
        </w:trPr>
        <w:tc>
          <w:tcPr>
            <w:tcW w:w="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00823">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rPr>
                <w:rFonts w:hint="eastAsia" w:ascii="宋体" w:hAnsi="宋体" w:eastAsia="宋体" w:cs="宋体"/>
                <w:color w:val="000000"/>
                <w:sz w:val="24"/>
                <w:szCs w:val="24"/>
              </w:rPr>
              <w:t>考核项目</w:t>
            </w:r>
          </w:p>
        </w:tc>
        <w:tc>
          <w:tcPr>
            <w:tcW w:w="727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2C56056">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eastAsia="宋体" w:cs="宋体"/>
                <w:color w:val="000000"/>
                <w:sz w:val="24"/>
                <w:szCs w:val="24"/>
              </w:rPr>
              <w:t>考核内容</w:t>
            </w:r>
          </w:p>
        </w:tc>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36B69">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rPr>
                <w:rFonts w:hint="eastAsia" w:ascii="宋体" w:hAnsi="宋体" w:eastAsia="宋体" w:cs="宋体"/>
                <w:color w:val="000000"/>
                <w:sz w:val="24"/>
                <w:szCs w:val="24"/>
              </w:rPr>
              <w:t>满分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CDDE2">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rPr>
                <w:rFonts w:hint="eastAsia" w:ascii="宋体" w:hAnsi="宋体" w:eastAsia="宋体" w:cs="宋体"/>
                <w:color w:val="000000"/>
                <w:sz w:val="24"/>
                <w:szCs w:val="24"/>
              </w:rPr>
              <w:t>得分</w:t>
            </w:r>
          </w:p>
        </w:tc>
      </w:tr>
      <w:tr w14:paraId="0DCEF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4" w:hRule="atLeast"/>
          <w:tblCellSpacing w:w="0" w:type="dxa"/>
          <w:jc w:val="center"/>
        </w:trPr>
        <w:tc>
          <w:tcPr>
            <w:tcW w:w="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C81E8">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rPr>
                <w:rFonts w:hint="eastAsia" w:ascii="宋体" w:hAnsi="宋体" w:eastAsia="宋体" w:cs="宋体"/>
                <w:color w:val="000000"/>
                <w:sz w:val="24"/>
                <w:szCs w:val="24"/>
              </w:rPr>
              <w:t>人员配备</w:t>
            </w:r>
          </w:p>
        </w:tc>
        <w:tc>
          <w:tcPr>
            <w:tcW w:w="727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E6886A0">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rPr>
                <w:rFonts w:hint="eastAsia" w:ascii="宋体" w:hAnsi="宋体" w:eastAsia="宋体" w:cs="宋体"/>
                <w:color w:val="000000"/>
                <w:sz w:val="24"/>
                <w:szCs w:val="24"/>
              </w:rPr>
              <w:t>岗位数、人员数低于投标时所承诺的数量，每少1人扣1分，缺1岗扣2分。当月缺岗缺人天数累计3个日历日本项不得分。聘用人员与招标文件所规定不符的，每1人扣1分。</w:t>
            </w:r>
          </w:p>
        </w:tc>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71C4D">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eastAsia="宋体" w:cs="宋体"/>
                <w:color w:val="000000"/>
                <w:sz w:val="24"/>
                <w:szCs w:val="24"/>
              </w:rPr>
              <w:t>10</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2DA36">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tc>
      </w:tr>
      <w:tr w14:paraId="51254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4" w:hRule="atLeast"/>
          <w:tblCellSpacing w:w="0" w:type="dxa"/>
          <w:jc w:val="center"/>
        </w:trPr>
        <w:tc>
          <w:tcPr>
            <w:tcW w:w="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41E10">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rPr>
                <w:rFonts w:hint="eastAsia" w:ascii="宋体" w:hAnsi="宋体" w:eastAsia="宋体" w:cs="宋体"/>
                <w:color w:val="000000"/>
                <w:sz w:val="24"/>
                <w:szCs w:val="24"/>
              </w:rPr>
              <w:t>文明规范</w:t>
            </w:r>
          </w:p>
        </w:tc>
        <w:tc>
          <w:tcPr>
            <w:tcW w:w="727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427EF6A">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rPr>
                <w:rFonts w:hint="eastAsia" w:ascii="宋体" w:hAnsi="宋体" w:eastAsia="宋体" w:cs="宋体"/>
                <w:color w:val="000000"/>
                <w:sz w:val="24"/>
                <w:szCs w:val="24"/>
              </w:rPr>
              <w:t>衣着不整、仪容不当，每人次扣1分。不按规定穿着工作服、佩戴相应标识，每人次扣2分。发现当班吸烟、喝酒等违反招标文件规定禁止的行为，本项不得分。</w:t>
            </w:r>
          </w:p>
        </w:tc>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23DC0">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eastAsia="宋体" w:cs="宋体"/>
                <w:color w:val="000000"/>
                <w:sz w:val="24"/>
                <w:szCs w:val="24"/>
              </w:rPr>
              <w:t>10</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D6EF2">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tc>
      </w:tr>
      <w:tr w14:paraId="067E1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394" w:hRule="atLeast"/>
          <w:tblCellSpacing w:w="0" w:type="dxa"/>
          <w:jc w:val="center"/>
        </w:trPr>
        <w:tc>
          <w:tcPr>
            <w:tcW w:w="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2AD07">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rPr>
                <w:rFonts w:hint="eastAsia" w:ascii="宋体" w:hAnsi="宋体" w:eastAsia="宋体" w:cs="宋体"/>
                <w:color w:val="000000"/>
                <w:sz w:val="24"/>
                <w:szCs w:val="24"/>
              </w:rPr>
              <w:t>考勤纪律</w:t>
            </w:r>
          </w:p>
        </w:tc>
        <w:tc>
          <w:tcPr>
            <w:tcW w:w="727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35BE116">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rPr>
                <w:rFonts w:hint="eastAsia" w:ascii="宋体" w:hAnsi="宋体" w:eastAsia="宋体" w:cs="宋体"/>
                <w:color w:val="000000"/>
                <w:sz w:val="24"/>
                <w:szCs w:val="24"/>
              </w:rPr>
              <w:t>迟到早退、无故离岗、无故旷工等行为，每人次扣1分。在岗期间睡岗、玩手机、玩忽职守等不符合要求行为，每人次扣2分。因上述行为造成安全事故，本项不得分。</w:t>
            </w:r>
          </w:p>
        </w:tc>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175C2">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eastAsia="宋体" w:cs="宋体"/>
                <w:color w:val="000000"/>
                <w:sz w:val="24"/>
                <w:szCs w:val="24"/>
              </w:rPr>
              <w:t>10</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2F962">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tc>
      </w:tr>
      <w:tr w14:paraId="40CA1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9" w:hRule="atLeast"/>
          <w:tblCellSpacing w:w="0" w:type="dxa"/>
          <w:jc w:val="center"/>
        </w:trPr>
        <w:tc>
          <w:tcPr>
            <w:tcW w:w="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76711">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rPr>
                <w:rFonts w:hint="eastAsia" w:ascii="宋体" w:hAnsi="宋体" w:eastAsia="宋体" w:cs="宋体"/>
                <w:color w:val="000000"/>
                <w:sz w:val="24"/>
                <w:szCs w:val="24"/>
              </w:rPr>
              <w:t>环境卫生</w:t>
            </w:r>
          </w:p>
        </w:tc>
        <w:tc>
          <w:tcPr>
            <w:tcW w:w="727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9648D86">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rPr>
                <w:rFonts w:hint="eastAsia" w:ascii="宋体" w:hAnsi="宋体" w:eastAsia="宋体" w:cs="宋体"/>
                <w:color w:val="000000"/>
                <w:sz w:val="24"/>
                <w:szCs w:val="24"/>
              </w:rPr>
              <w:t>管辖区域有垃圾、污渍未及时清理，每处扣2分。杂物堆积、垃圾未及时清运出现异味，每处扣2分。垃圾袋、洗手液、纸巾等办公区保洁物资未及时补充，发现一次扣2分。清洁用具未及时收纳、摆放不整齐，每处扣2分。</w:t>
            </w:r>
          </w:p>
        </w:tc>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FE472">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eastAsia="宋体" w:cs="宋体"/>
                <w:color w:val="000000"/>
                <w:sz w:val="24"/>
                <w:szCs w:val="24"/>
              </w:rPr>
              <w:t>15</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4B4CF">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tc>
      </w:tr>
      <w:tr w14:paraId="6E63C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9" w:hRule="atLeast"/>
          <w:tblCellSpacing w:w="0" w:type="dxa"/>
          <w:jc w:val="center"/>
        </w:trPr>
        <w:tc>
          <w:tcPr>
            <w:tcW w:w="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007A6">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rPr>
                <w:rFonts w:hint="eastAsia" w:ascii="宋体" w:hAnsi="宋体" w:eastAsia="宋体" w:cs="宋体"/>
                <w:color w:val="000000"/>
                <w:sz w:val="24"/>
                <w:szCs w:val="24"/>
              </w:rPr>
              <w:t>服务保障</w:t>
            </w:r>
          </w:p>
        </w:tc>
        <w:tc>
          <w:tcPr>
            <w:tcW w:w="727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052D944">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rPr>
                <w:rFonts w:hint="eastAsia" w:ascii="宋体" w:hAnsi="宋体" w:eastAsia="宋体" w:cs="宋体"/>
                <w:color w:val="000000"/>
                <w:sz w:val="24"/>
                <w:szCs w:val="24"/>
              </w:rPr>
              <w:t>在岗期间未及时维持秩序，每次扣2分。门岗未起到门禁作用，每次扣2分。装备物资未妥善看护，每次扣2分。节假日、重大活动未按要求提供保障，每次扣2分。因上述行为造成物品丢失、财产损毁、人员事故，本项不得分。</w:t>
            </w:r>
          </w:p>
        </w:tc>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B9AC0">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eastAsia="宋体" w:cs="宋体"/>
                <w:color w:val="000000"/>
                <w:sz w:val="24"/>
                <w:szCs w:val="24"/>
              </w:rPr>
              <w:t>15</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959C4">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tc>
      </w:tr>
      <w:tr w14:paraId="39331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blCellSpacing w:w="0" w:type="dxa"/>
          <w:jc w:val="center"/>
        </w:trPr>
        <w:tc>
          <w:tcPr>
            <w:tcW w:w="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B5D2E">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rPr>
                <w:rFonts w:hint="eastAsia" w:ascii="宋体" w:hAnsi="宋体" w:eastAsia="宋体" w:cs="宋体"/>
                <w:color w:val="000000"/>
                <w:sz w:val="24"/>
                <w:szCs w:val="24"/>
              </w:rPr>
              <w:t>巡逻检查</w:t>
            </w:r>
          </w:p>
        </w:tc>
        <w:tc>
          <w:tcPr>
            <w:tcW w:w="727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F122D2C">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rPr>
                <w:rFonts w:hint="eastAsia" w:ascii="宋体" w:hAnsi="宋体" w:eastAsia="宋体" w:cs="宋体"/>
                <w:color w:val="000000"/>
                <w:sz w:val="24"/>
                <w:szCs w:val="24"/>
              </w:rPr>
              <w:t>未按既定路线、频次巡逻、巡逻内容不全面，每次扣1分。未执行巡查，每次扣2分。</w:t>
            </w:r>
          </w:p>
        </w:tc>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6C5EC">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eastAsia="宋体" w:cs="宋体"/>
                <w:color w:val="000000"/>
                <w:sz w:val="24"/>
                <w:szCs w:val="24"/>
              </w:rPr>
              <w:t>10</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FFF01">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tc>
      </w:tr>
      <w:tr w14:paraId="0F1D7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2" w:hRule="atLeast"/>
          <w:tblCellSpacing w:w="0" w:type="dxa"/>
          <w:jc w:val="center"/>
        </w:trPr>
        <w:tc>
          <w:tcPr>
            <w:tcW w:w="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59A5F">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rPr>
                <w:rFonts w:hint="eastAsia" w:ascii="宋体" w:hAnsi="宋体" w:eastAsia="宋体" w:cs="宋体"/>
                <w:color w:val="000000"/>
                <w:sz w:val="24"/>
                <w:szCs w:val="24"/>
              </w:rPr>
              <w:t>人员薪资</w:t>
            </w:r>
          </w:p>
        </w:tc>
        <w:tc>
          <w:tcPr>
            <w:tcW w:w="727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E2627AA">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rPr>
                <w:rFonts w:hint="eastAsia" w:ascii="宋体" w:hAnsi="宋体" w:eastAsia="宋体" w:cs="宋体"/>
                <w:color w:val="000000"/>
                <w:sz w:val="24"/>
                <w:szCs w:val="24"/>
              </w:rPr>
              <w:t>上月人员工资未按时发放，扣10分。</w:t>
            </w:r>
          </w:p>
        </w:tc>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6AB38">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eastAsia="宋体" w:cs="宋体"/>
                <w:color w:val="000000"/>
                <w:sz w:val="24"/>
                <w:szCs w:val="24"/>
              </w:rPr>
              <w:t>10</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98A22">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tc>
      </w:tr>
      <w:tr w14:paraId="6E6B9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4" w:hRule="atLeast"/>
          <w:tblCellSpacing w:w="0" w:type="dxa"/>
          <w:jc w:val="center"/>
        </w:trPr>
        <w:tc>
          <w:tcPr>
            <w:tcW w:w="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184B4">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rPr>
                <w:rFonts w:hint="eastAsia" w:ascii="宋体" w:hAnsi="宋体" w:eastAsia="宋体" w:cs="宋体"/>
                <w:color w:val="000000"/>
                <w:sz w:val="24"/>
                <w:szCs w:val="24"/>
              </w:rPr>
              <w:t>台账记录</w:t>
            </w:r>
          </w:p>
        </w:tc>
        <w:tc>
          <w:tcPr>
            <w:tcW w:w="727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BD2603F">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rPr>
                <w:rFonts w:hint="eastAsia" w:ascii="宋体" w:hAnsi="宋体" w:eastAsia="宋体" w:cs="宋体"/>
                <w:color w:val="000000"/>
                <w:sz w:val="24"/>
                <w:szCs w:val="24"/>
              </w:rPr>
              <w:t>值班记录、巡逻检查记录、消防检查记录、考勤记录、培训记录等台账内容不完整、填写不及时、内容与事实不符，每次扣1分。伪造、编造台账、无台账记录，每次扣2分。</w:t>
            </w:r>
          </w:p>
        </w:tc>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6F61D">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eastAsia="宋体" w:cs="宋体"/>
                <w:color w:val="000000"/>
                <w:sz w:val="24"/>
                <w:szCs w:val="24"/>
              </w:rPr>
              <w:t>10</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01B72">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tc>
      </w:tr>
      <w:tr w14:paraId="62A98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4" w:hRule="atLeast"/>
          <w:tblCellSpacing w:w="0" w:type="dxa"/>
          <w:jc w:val="center"/>
        </w:trPr>
        <w:tc>
          <w:tcPr>
            <w:tcW w:w="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17E3B">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rPr>
                <w:rFonts w:hint="eastAsia" w:ascii="宋体" w:hAnsi="宋体" w:eastAsia="宋体" w:cs="宋体"/>
                <w:color w:val="000000"/>
                <w:sz w:val="24"/>
                <w:szCs w:val="24"/>
              </w:rPr>
              <w:t>舆情风评</w:t>
            </w:r>
          </w:p>
        </w:tc>
        <w:tc>
          <w:tcPr>
            <w:tcW w:w="727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917F018">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rPr>
                <w:rFonts w:hint="eastAsia" w:ascii="宋体" w:hAnsi="宋体" w:eastAsia="宋体" w:cs="宋体"/>
                <w:color w:val="000000"/>
                <w:sz w:val="24"/>
                <w:szCs w:val="24"/>
              </w:rPr>
              <w:t>市民、游客对物业服务登门、电话投诉，每起投诉扣1分。因物业服务出现政府工单、信访举报投诉，每起扣2分。上级单位、政府机构对该项目通报批评，本项不得分。</w:t>
            </w:r>
          </w:p>
        </w:tc>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01074">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eastAsia="宋体" w:cs="宋体"/>
                <w:color w:val="000000"/>
                <w:sz w:val="24"/>
                <w:szCs w:val="24"/>
              </w:rPr>
              <w:t>10</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37154">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tc>
      </w:tr>
      <w:tr w14:paraId="30AF4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2" w:hRule="atLeast"/>
          <w:tblCellSpacing w:w="0" w:type="dxa"/>
          <w:jc w:val="center"/>
        </w:trPr>
        <w:tc>
          <w:tcPr>
            <w:tcW w:w="777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55D8176">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eastAsia="宋体" w:cs="宋体"/>
                <w:color w:val="000000"/>
                <w:sz w:val="24"/>
                <w:szCs w:val="24"/>
              </w:rPr>
              <w:t>本月得分</w:t>
            </w:r>
          </w:p>
        </w:tc>
        <w:tc>
          <w:tcPr>
            <w:tcW w:w="14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E4C509">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tc>
      </w:tr>
      <w:tr w14:paraId="22130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7" w:hRule="atLeast"/>
          <w:tblCellSpacing w:w="0" w:type="dxa"/>
          <w:jc w:val="center"/>
        </w:trPr>
        <w:tc>
          <w:tcPr>
            <w:tcW w:w="926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1BFB369">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tLeast"/>
            </w:pPr>
            <w:r>
              <w:rPr>
                <w:rFonts w:hint="eastAsia" w:ascii="宋体" w:hAnsi="宋体" w:eastAsia="宋体" w:cs="宋体"/>
                <w:color w:val="000000"/>
                <w:sz w:val="24"/>
                <w:szCs w:val="24"/>
              </w:rPr>
              <w:t>1.本考核解释以项目招标文件、合同所规定考核项目为准，解释权归于江苏射阳港经济开发区管理委员会。</w:t>
            </w:r>
          </w:p>
          <w:p w14:paraId="0FF77DE9">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tLeast"/>
            </w:pPr>
            <w:r>
              <w:rPr>
                <w:rFonts w:hint="eastAsia" w:ascii="宋体" w:hAnsi="宋体" w:eastAsia="宋体" w:cs="宋体"/>
                <w:color w:val="000000"/>
                <w:sz w:val="24"/>
                <w:szCs w:val="24"/>
              </w:rPr>
              <w:t>2.每月结束的5个工作日内由各考评单位负责执行该月考核，考核结束后统一汇总核算，确定加权得分。月考核低于90分，每低1分处罚2000元；考核低于80分，</w:t>
            </w:r>
            <w:r>
              <w:rPr>
                <w:rFonts w:hint="eastAsia" w:ascii="宋体" w:hAnsi="宋体" w:eastAsia="宋体" w:cs="宋体"/>
                <w:color w:val="000000"/>
                <w:sz w:val="24"/>
                <w:szCs w:val="24"/>
                <w:lang w:eastAsia="zh-CN"/>
              </w:rPr>
              <w:t>江苏射阳港经济开发区管理委员会</w:t>
            </w:r>
            <w:r>
              <w:rPr>
                <w:rFonts w:hint="eastAsia" w:ascii="宋体" w:hAnsi="宋体" w:eastAsia="宋体" w:cs="宋体"/>
                <w:color w:val="000000"/>
                <w:sz w:val="24"/>
                <w:szCs w:val="24"/>
              </w:rPr>
              <w:t>有权解除物业服务合同。处罚从当月物业服务费中扣除。</w:t>
            </w:r>
          </w:p>
          <w:p w14:paraId="362D8B8B">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tLeast"/>
            </w:pPr>
            <w:r>
              <w:rPr>
                <w:rFonts w:hint="eastAsia" w:ascii="宋体" w:hAnsi="宋体" w:eastAsia="宋体" w:cs="宋体"/>
                <w:color w:val="000000"/>
                <w:sz w:val="24"/>
                <w:szCs w:val="24"/>
              </w:rPr>
              <w:t>3.对考核结果有异议，上报安全应急处裁定。</w:t>
            </w:r>
          </w:p>
          <w:p w14:paraId="4441C82F">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tLeast"/>
            </w:pPr>
            <w:r>
              <w:rPr>
                <w:rFonts w:hint="eastAsia" w:ascii="宋体" w:hAnsi="宋体" w:eastAsia="宋体" w:cs="宋体"/>
                <w:color w:val="000000"/>
                <w:sz w:val="24"/>
                <w:szCs w:val="24"/>
              </w:rPr>
              <w:t>4.考核表后需附扣分情况说明、处罚决定说明。</w:t>
            </w:r>
          </w:p>
        </w:tc>
      </w:tr>
    </w:tbl>
    <w:p w14:paraId="77EF3AB9">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color w:val="000000"/>
          <w:sz w:val="24"/>
          <w:szCs w:val="24"/>
        </w:rPr>
      </w:pPr>
    </w:p>
    <w:p w14:paraId="79B3325C">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color w:val="000000"/>
          <w:sz w:val="24"/>
          <w:szCs w:val="24"/>
        </w:rPr>
      </w:pPr>
      <w:r>
        <w:rPr>
          <w:rFonts w:hint="eastAsia" w:ascii="宋体" w:hAnsi="宋体" w:eastAsia="宋体" w:cs="宋体"/>
          <w:color w:val="000000"/>
          <w:sz w:val="24"/>
          <w:szCs w:val="24"/>
        </w:rPr>
        <w:t>考核负责人签名：</w:t>
      </w:r>
    </w:p>
    <w:p w14:paraId="39EB2774">
      <w:pPr>
        <w:rPr>
          <w:rFonts w:hint="eastAsia" w:ascii="宋体" w:hAnsi="宋体" w:eastAsia="宋体" w:cs="宋体"/>
          <w:b/>
          <w:bCs/>
          <w:color w:val="auto"/>
          <w:sz w:val="44"/>
          <w:szCs w:val="44"/>
          <w:highlight w:val="none"/>
          <w:shd w:val="clear" w:color="auto" w:fill="auto"/>
        </w:rPr>
      </w:pPr>
      <w:r>
        <w:rPr>
          <w:rFonts w:hint="eastAsia" w:ascii="宋体" w:hAnsi="宋体" w:eastAsia="宋体" w:cs="宋体"/>
          <w:color w:val="000000"/>
          <w:sz w:val="24"/>
          <w:szCs w:val="24"/>
        </w:rPr>
        <w:t>                                                                                                             日期：</w:t>
      </w:r>
      <w:bookmarkStart w:id="145" w:name="_Toc120614281"/>
    </w:p>
    <w:p w14:paraId="06A56F58">
      <w:pPr>
        <w:rPr>
          <w:rFonts w:hint="eastAsia" w:ascii="宋体" w:hAnsi="宋体" w:eastAsia="宋体" w:cs="宋体"/>
          <w:b/>
          <w:bCs/>
          <w:color w:val="auto"/>
          <w:sz w:val="44"/>
          <w:szCs w:val="44"/>
          <w:highlight w:val="none"/>
          <w:shd w:val="clear" w:color="auto" w:fill="auto"/>
        </w:rPr>
      </w:pPr>
      <w:r>
        <w:rPr>
          <w:rFonts w:hint="eastAsia" w:ascii="宋体" w:hAnsi="宋体" w:eastAsia="宋体" w:cs="宋体"/>
          <w:b/>
          <w:bCs/>
          <w:color w:val="auto"/>
          <w:sz w:val="44"/>
          <w:szCs w:val="44"/>
          <w:highlight w:val="none"/>
          <w:shd w:val="clear" w:color="auto" w:fill="auto"/>
        </w:rPr>
        <w:br w:type="page"/>
      </w:r>
    </w:p>
    <w:p w14:paraId="1B5D28B1">
      <w:pPr>
        <w:keepNext w:val="0"/>
        <w:keepLines w:val="0"/>
        <w:pageBreakBefore w:val="0"/>
        <w:spacing w:line="500" w:lineRule="exact"/>
        <w:jc w:val="center"/>
        <w:rPr>
          <w:rFonts w:hint="eastAsia" w:ascii="宋体" w:hAnsi="宋体" w:eastAsia="宋体" w:cs="宋体"/>
          <w:color w:val="auto"/>
          <w:highlight w:val="none"/>
          <w:shd w:val="clear" w:color="auto" w:fill="auto"/>
        </w:rPr>
      </w:pPr>
      <w:r>
        <w:rPr>
          <w:rFonts w:hint="eastAsia" w:ascii="宋体" w:hAnsi="宋体" w:eastAsia="宋体" w:cs="宋体"/>
          <w:b/>
          <w:bCs/>
          <w:color w:val="auto"/>
          <w:sz w:val="44"/>
          <w:szCs w:val="44"/>
          <w:highlight w:val="none"/>
          <w:shd w:val="clear" w:color="auto" w:fill="auto"/>
        </w:rPr>
        <w:t>第五章 </w:t>
      </w:r>
      <w:r>
        <w:rPr>
          <w:rFonts w:hint="eastAsia" w:ascii="宋体" w:hAnsi="宋体" w:eastAsia="宋体" w:cs="宋体"/>
          <w:color w:val="auto"/>
          <w:sz w:val="44"/>
          <w:szCs w:val="44"/>
          <w:highlight w:val="none"/>
          <w:shd w:val="clear" w:color="auto" w:fill="auto"/>
        </w:rPr>
        <w:t xml:space="preserve"> </w:t>
      </w:r>
      <w:r>
        <w:rPr>
          <w:rFonts w:hint="eastAsia" w:ascii="宋体" w:hAnsi="宋体" w:eastAsia="宋体" w:cs="宋体"/>
          <w:b/>
          <w:color w:val="auto"/>
          <w:sz w:val="44"/>
          <w:szCs w:val="44"/>
          <w:highlight w:val="none"/>
          <w:shd w:val="clear" w:color="auto" w:fill="auto"/>
        </w:rPr>
        <w:t>评审方法与评审标准</w:t>
      </w:r>
      <w:bookmarkEnd w:id="145"/>
    </w:p>
    <w:p w14:paraId="48EBF6CE">
      <w:pPr>
        <w:keepNext w:val="0"/>
        <w:keepLines w:val="0"/>
        <w:pageBreakBefore w:val="0"/>
        <w:spacing w:line="500" w:lineRule="exact"/>
        <w:rPr>
          <w:rFonts w:hint="eastAsia" w:ascii="宋体" w:hAnsi="宋体" w:eastAsia="宋体" w:cs="宋体"/>
          <w:b/>
          <w:bCs/>
          <w:color w:val="auto"/>
          <w:sz w:val="24"/>
          <w:szCs w:val="24"/>
          <w:highlight w:val="none"/>
          <w:shd w:val="clear" w:color="auto" w:fill="auto"/>
        </w:rPr>
      </w:pPr>
    </w:p>
    <w:p w14:paraId="7D5426C8">
      <w:pPr>
        <w:keepNext w:val="0"/>
        <w:keepLines w:val="0"/>
        <w:pageBreakBefore w:val="0"/>
        <w:widowControl w:val="0"/>
        <w:spacing w:line="500" w:lineRule="exact"/>
        <w:ind w:left="0" w:firstLine="482"/>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一、定标原则</w:t>
      </w:r>
    </w:p>
    <w:p w14:paraId="2DFF4F4D">
      <w:pPr>
        <w:pStyle w:val="192"/>
        <w:keepNext w:val="0"/>
        <w:keepLines w:val="0"/>
        <w:pageBreakBefore w:val="0"/>
        <w:widowControl w:val="0"/>
        <w:spacing w:before="0" w:after="0" w:line="500" w:lineRule="exact"/>
        <w:ind w:left="0" w:firstLine="480"/>
        <w:rPr>
          <w:rFonts w:hint="eastAsia" w:ascii="宋体" w:hAnsi="宋体" w:eastAsia="宋体" w:cs="宋体"/>
          <w:b w:val="0"/>
          <w:bCs w:val="0"/>
          <w:i w:val="0"/>
          <w:iCs w:val="0"/>
          <w:caps w:val="0"/>
          <w:color w:val="333333"/>
          <w:spacing w:val="0"/>
          <w:sz w:val="24"/>
          <w:szCs w:val="24"/>
          <w:shd w:val="clear" w:color="auto" w:fill="FFFFFF"/>
          <w:lang w:val="en-US" w:eastAsia="zh-CN" w:bidi="ar-SA"/>
        </w:rPr>
      </w:pPr>
      <w:r>
        <w:rPr>
          <w:rFonts w:hint="eastAsia" w:ascii="宋体" w:hAnsi="宋体" w:eastAsia="宋体" w:cs="宋体"/>
          <w:b w:val="0"/>
          <w:bCs w:val="0"/>
          <w:i w:val="0"/>
          <w:iCs w:val="0"/>
          <w:caps w:val="0"/>
          <w:color w:val="333333"/>
          <w:spacing w:val="0"/>
          <w:sz w:val="24"/>
          <w:szCs w:val="24"/>
          <w:shd w:val="clear" w:color="auto" w:fill="FFFFFF"/>
          <w:lang w:val="en-US" w:eastAsia="zh-CN" w:bidi="ar-SA"/>
        </w:rPr>
        <w:t>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3074E598">
      <w:pPr>
        <w:pStyle w:val="32"/>
        <w:keepNext w:val="0"/>
        <w:keepLines w:val="0"/>
        <w:pageBreakBefore w:val="0"/>
        <w:widowControl w:val="0"/>
        <w:spacing w:beforeAutospacing="0" w:afterAutospacing="0" w:line="500" w:lineRule="exact"/>
        <w:ind w:left="0" w:firstLine="482"/>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二、</w:t>
      </w:r>
      <w:r>
        <w:rPr>
          <w:rFonts w:hint="eastAsia" w:ascii="宋体" w:hAnsi="宋体" w:eastAsia="宋体" w:cs="宋体"/>
          <w:b/>
          <w:color w:val="auto"/>
          <w:sz w:val="24"/>
          <w:szCs w:val="24"/>
          <w:highlight w:val="none"/>
          <w:shd w:val="clear" w:color="auto" w:fill="auto"/>
        </w:rPr>
        <w:t>政府采购政策功能落实</w:t>
      </w:r>
    </w:p>
    <w:p w14:paraId="0D9E0865">
      <w:pPr>
        <w:pStyle w:val="32"/>
        <w:keepNext w:val="0"/>
        <w:keepLines w:val="0"/>
        <w:pageBreakBefore w:val="0"/>
        <w:widowControl w:val="0"/>
        <w:spacing w:beforeAutospacing="0" w:afterAutospacing="0"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1、小微型企业价格扣除</w:t>
      </w:r>
    </w:p>
    <w:p w14:paraId="79963DF8">
      <w:pPr>
        <w:pStyle w:val="192"/>
        <w:keepNext w:val="0"/>
        <w:keepLines w:val="0"/>
        <w:pageBreakBefore w:val="0"/>
        <w:widowControl w:val="0"/>
        <w:spacing w:before="0" w:after="0"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（1）本项目专门面向中小企业采购，不再对小型和微型企业</w:t>
      </w:r>
      <w:r>
        <w:rPr>
          <w:rFonts w:hint="eastAsia" w:ascii="宋体" w:hAnsi="宋体" w:eastAsia="宋体" w:cs="宋体"/>
          <w:color w:val="auto"/>
          <w:sz w:val="24"/>
          <w:szCs w:val="24"/>
          <w:highlight w:val="none"/>
          <w:shd w:val="clear" w:color="auto" w:fill="auto"/>
          <w:lang w:val="en-US" w:eastAsia="zh-CN"/>
        </w:rPr>
        <w:t>报价</w:t>
      </w:r>
      <w:r>
        <w:rPr>
          <w:rFonts w:hint="eastAsia" w:ascii="宋体" w:hAnsi="宋体" w:eastAsia="宋体" w:cs="宋体"/>
          <w:color w:val="auto"/>
          <w:sz w:val="24"/>
          <w:szCs w:val="24"/>
          <w:highlight w:val="none"/>
          <w:shd w:val="clear" w:color="auto" w:fill="auto"/>
        </w:rPr>
        <w:t>给予价格扣除。</w:t>
      </w:r>
    </w:p>
    <w:p w14:paraId="1EF6E4C2">
      <w:pPr>
        <w:pStyle w:val="32"/>
        <w:keepNext w:val="0"/>
        <w:keepLines w:val="0"/>
        <w:pageBreakBefore w:val="0"/>
        <w:widowControl w:val="0"/>
        <w:spacing w:beforeAutospacing="0" w:afterAutospacing="0"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（2）供应商需按照</w:t>
      </w:r>
      <w:r>
        <w:rPr>
          <w:rFonts w:hint="eastAsia" w:ascii="宋体" w:hAnsi="宋体" w:eastAsia="宋体" w:cs="宋体"/>
          <w:i w:val="0"/>
          <w:iCs w:val="0"/>
          <w:caps w:val="0"/>
          <w:color w:val="auto"/>
          <w:spacing w:val="0"/>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文件的要求提供相应的《</w:t>
      </w:r>
      <w:r>
        <w:rPr>
          <w:rFonts w:hint="eastAsia" w:ascii="宋体" w:hAnsi="宋体" w:eastAsia="宋体" w:cs="宋体"/>
          <w:color w:val="auto"/>
          <w:sz w:val="24"/>
          <w:szCs w:val="24"/>
          <w:highlight w:val="none"/>
          <w:lang w:val="en-US" w:eastAsia="zh-CN"/>
        </w:rPr>
        <w:t>中小</w:t>
      </w:r>
      <w:r>
        <w:rPr>
          <w:rFonts w:hint="eastAsia" w:ascii="宋体" w:hAnsi="宋体" w:eastAsia="宋体" w:cs="宋体"/>
          <w:color w:val="auto"/>
          <w:sz w:val="24"/>
          <w:szCs w:val="24"/>
          <w:highlight w:val="none"/>
        </w:rPr>
        <w:t>企业声明函</w:t>
      </w:r>
      <w:r>
        <w:rPr>
          <w:rFonts w:hint="eastAsia" w:ascii="宋体" w:hAnsi="宋体" w:eastAsia="宋体" w:cs="宋体"/>
          <w:color w:val="auto"/>
          <w:sz w:val="24"/>
          <w:szCs w:val="24"/>
          <w:highlight w:val="none"/>
          <w:shd w:val="clear" w:color="auto" w:fill="auto"/>
        </w:rPr>
        <w:t>》。</w:t>
      </w:r>
    </w:p>
    <w:p w14:paraId="53A92E7C">
      <w:pPr>
        <w:pStyle w:val="32"/>
        <w:keepNext w:val="0"/>
        <w:keepLines w:val="0"/>
        <w:pageBreakBefore w:val="0"/>
        <w:widowControl w:val="0"/>
        <w:spacing w:beforeAutospacing="0" w:afterAutospacing="0"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（3）企业标准请参照《关于印发中小企业划型标准规定的通知》（工信部联企业</w:t>
      </w:r>
      <w:r>
        <w:rPr>
          <w:rFonts w:hint="eastAsia" w:ascii="宋体" w:hAnsi="宋体" w:eastAsia="宋体" w:cs="宋体"/>
          <w:color w:val="auto"/>
          <w:sz w:val="24"/>
          <w:szCs w:val="24"/>
          <w:highlight w:val="none"/>
          <w:shd w:val="clear" w:color="auto" w:fill="auto"/>
          <w:lang w:eastAsia="zh-CN"/>
        </w:rPr>
        <w:t>〔2011〕300号</w:t>
      </w:r>
      <w:r>
        <w:rPr>
          <w:rFonts w:hint="eastAsia" w:ascii="宋体" w:hAnsi="宋体" w:eastAsia="宋体" w:cs="宋体"/>
          <w:color w:val="auto"/>
          <w:sz w:val="24"/>
          <w:szCs w:val="24"/>
          <w:highlight w:val="none"/>
          <w:shd w:val="clear" w:color="auto" w:fill="auto"/>
        </w:rPr>
        <w:t>）文件规定自行填写。</w:t>
      </w:r>
    </w:p>
    <w:p w14:paraId="6340C851">
      <w:pPr>
        <w:pStyle w:val="32"/>
        <w:keepNext w:val="0"/>
        <w:keepLines w:val="0"/>
        <w:pageBreakBefore w:val="0"/>
        <w:widowControl w:val="0"/>
        <w:spacing w:beforeAutospacing="0" w:afterAutospacing="0"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2、残疾人福利单位价格扣除</w:t>
      </w:r>
    </w:p>
    <w:p w14:paraId="2199E642">
      <w:pPr>
        <w:pStyle w:val="32"/>
        <w:keepNext w:val="0"/>
        <w:keepLines w:val="0"/>
        <w:pageBreakBefore w:val="0"/>
        <w:widowControl w:val="0"/>
        <w:spacing w:beforeAutospacing="0" w:afterAutospacing="0"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（1）本项目对残疾人福利性单位视同小型、微型企业。</w:t>
      </w:r>
    </w:p>
    <w:p w14:paraId="5EC2DC25">
      <w:pPr>
        <w:pStyle w:val="32"/>
        <w:keepNext w:val="0"/>
        <w:keepLines w:val="0"/>
        <w:pageBreakBefore w:val="0"/>
        <w:widowControl w:val="0"/>
        <w:spacing w:beforeAutospacing="0" w:afterAutospacing="0"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（2）残疾人福利单位需按照</w:t>
      </w:r>
      <w:r>
        <w:rPr>
          <w:rFonts w:hint="eastAsia" w:ascii="宋体" w:hAnsi="宋体" w:eastAsia="宋体" w:cs="宋体"/>
          <w:i w:val="0"/>
          <w:iCs w:val="0"/>
          <w:caps w:val="0"/>
          <w:color w:val="auto"/>
          <w:spacing w:val="0"/>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文件的要求提供《残疾人福利性单位声明函》。</w:t>
      </w:r>
    </w:p>
    <w:p w14:paraId="3C592C30">
      <w:pPr>
        <w:pStyle w:val="32"/>
        <w:keepNext w:val="0"/>
        <w:keepLines w:val="0"/>
        <w:pageBreakBefore w:val="0"/>
        <w:widowControl w:val="0"/>
        <w:spacing w:beforeAutospacing="0" w:afterAutospacing="0"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（3）残疾人福利单位标准请参照《关于促进残疾人就业政府采购政策的通知》（财库〔2017〕141号）。</w:t>
      </w:r>
    </w:p>
    <w:p w14:paraId="0D4EEE95">
      <w:pPr>
        <w:pStyle w:val="32"/>
        <w:keepNext w:val="0"/>
        <w:keepLines w:val="0"/>
        <w:pageBreakBefore w:val="0"/>
        <w:widowControl w:val="0"/>
        <w:spacing w:beforeAutospacing="0" w:afterAutospacing="0"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3、监狱和戒毒企业价格扣除</w:t>
      </w:r>
    </w:p>
    <w:p w14:paraId="3D7381A7">
      <w:pPr>
        <w:pStyle w:val="32"/>
        <w:keepNext w:val="0"/>
        <w:keepLines w:val="0"/>
        <w:pageBreakBefore w:val="0"/>
        <w:widowControl w:val="0"/>
        <w:spacing w:beforeAutospacing="0" w:afterAutospacing="0"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（1）本项目对监狱和戒毒企业（简称监狱企业）视同小型、微型企业。</w:t>
      </w:r>
    </w:p>
    <w:p w14:paraId="651FF9F9">
      <w:pPr>
        <w:pStyle w:val="32"/>
        <w:keepNext w:val="0"/>
        <w:keepLines w:val="0"/>
        <w:pageBreakBefore w:val="0"/>
        <w:widowControl w:val="0"/>
        <w:spacing w:beforeAutospacing="0" w:afterAutospacing="0"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（2）监狱企业参加政府采购活动时，需提供由省级以上监狱管理局、戒毒管理局(含新疆生产建设兵团)出具的属于监狱企业的证明文件。供应商如不提供上述证明文件，价格将不做相应扣除。</w:t>
      </w:r>
    </w:p>
    <w:p w14:paraId="428A98E7">
      <w:pPr>
        <w:pStyle w:val="32"/>
        <w:keepNext w:val="0"/>
        <w:keepLines w:val="0"/>
        <w:pageBreakBefore w:val="0"/>
        <w:widowControl w:val="0"/>
        <w:spacing w:beforeAutospacing="0" w:afterAutospacing="0"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（3）监狱企业标准请参照《关于政府采购支持监狱企业发展有关问题的通知》（财库</w:t>
      </w:r>
      <w:r>
        <w:rPr>
          <w:rFonts w:hint="eastAsia" w:ascii="宋体" w:hAnsi="宋体" w:eastAsia="宋体" w:cs="宋体"/>
          <w:color w:val="auto"/>
          <w:sz w:val="24"/>
          <w:szCs w:val="24"/>
          <w:highlight w:val="none"/>
          <w:shd w:val="clear" w:color="auto" w:fill="auto"/>
          <w:lang w:eastAsia="zh-CN"/>
        </w:rPr>
        <w:t>〔2014〕68号</w:t>
      </w:r>
      <w:r>
        <w:rPr>
          <w:rFonts w:hint="eastAsia" w:ascii="宋体" w:hAnsi="宋体" w:eastAsia="宋体" w:cs="宋体"/>
          <w:color w:val="auto"/>
          <w:sz w:val="24"/>
          <w:szCs w:val="24"/>
          <w:highlight w:val="none"/>
          <w:shd w:val="clear" w:color="auto" w:fill="auto"/>
        </w:rPr>
        <w:t>）。</w:t>
      </w:r>
    </w:p>
    <w:p w14:paraId="19920556">
      <w:pPr>
        <w:pStyle w:val="32"/>
        <w:keepNext w:val="0"/>
        <w:keepLines w:val="0"/>
        <w:pageBreakBefore w:val="0"/>
        <w:widowControl w:val="0"/>
        <w:spacing w:beforeAutospacing="0" w:afterAutospacing="0"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4、残疾人福利单位、监狱企业属于小型、微型企业的，不重复享受政策。</w:t>
      </w:r>
    </w:p>
    <w:p w14:paraId="24B04757">
      <w:pPr>
        <w:pStyle w:val="32"/>
        <w:keepNext w:val="0"/>
        <w:keepLines w:val="0"/>
        <w:pageBreakBefore w:val="0"/>
        <w:widowControl w:val="0"/>
        <w:spacing w:beforeAutospacing="0" w:afterAutospacing="0"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shd w:val="clear" w:color="auto" w:fill="auto"/>
        </w:rPr>
        <w:t>6%</w:t>
      </w:r>
      <w:r>
        <w:rPr>
          <w:rFonts w:hint="eastAsia" w:ascii="宋体" w:hAnsi="宋体" w:eastAsia="宋体" w:cs="宋体"/>
          <w:color w:val="auto"/>
          <w:sz w:val="24"/>
          <w:szCs w:val="24"/>
          <w:highlight w:val="none"/>
          <w:shd w:val="clear" w:color="auto" w:fill="auto"/>
        </w:rPr>
        <w:t>的价格扣除，用扣除后的价格参与评审。</w:t>
      </w:r>
    </w:p>
    <w:p w14:paraId="06B9A18E">
      <w:pPr>
        <w:pStyle w:val="32"/>
        <w:keepNext w:val="0"/>
        <w:keepLines w:val="0"/>
        <w:pageBreakBefore w:val="0"/>
        <w:widowControl w:val="0"/>
        <w:spacing w:beforeAutospacing="0" w:afterAutospacing="0"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6、联合体各方均为小型、微型企业（残疾人福利单位、监狱企业）的，联合体享受</w:t>
      </w:r>
      <w:r>
        <w:rPr>
          <w:rFonts w:hint="eastAsia" w:ascii="宋体" w:hAnsi="宋体" w:eastAsia="宋体" w:cs="宋体"/>
          <w:color w:val="auto"/>
          <w:sz w:val="24"/>
          <w:szCs w:val="24"/>
          <w:highlight w:val="none"/>
          <w:u w:val="single"/>
          <w:shd w:val="clear" w:color="auto" w:fill="auto"/>
        </w:rPr>
        <w:t>20%</w:t>
      </w:r>
      <w:r>
        <w:rPr>
          <w:rFonts w:hint="eastAsia" w:ascii="宋体" w:hAnsi="宋体" w:eastAsia="宋体" w:cs="宋体"/>
          <w:color w:val="auto"/>
          <w:sz w:val="24"/>
          <w:szCs w:val="24"/>
          <w:highlight w:val="none"/>
          <w:shd w:val="clear" w:color="auto" w:fill="auto"/>
        </w:rPr>
        <w:t>价格扣除，用扣除后的价格参与评审。</w:t>
      </w:r>
    </w:p>
    <w:p w14:paraId="3D5FE31D">
      <w:pPr>
        <w:keepNext w:val="0"/>
        <w:keepLines w:val="0"/>
        <w:pageBreakBefore w:val="0"/>
        <w:widowControl w:val="0"/>
        <w:spacing w:line="5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7</w:t>
      </w:r>
      <w:r>
        <w:rPr>
          <w:rFonts w:hint="eastAsia" w:ascii="宋体" w:hAnsi="宋体" w:eastAsia="宋体" w:cs="宋体"/>
          <w:color w:val="auto"/>
          <w:sz w:val="24"/>
          <w:szCs w:val="24"/>
          <w:highlight w:val="none"/>
          <w:shd w:val="clear" w:color="auto" w:fill="auto"/>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其他条件相同情况下，应当优先采购节能产品、环境标志产品。</w:t>
      </w:r>
    </w:p>
    <w:p w14:paraId="51280735">
      <w:pPr>
        <w:pStyle w:val="32"/>
        <w:keepNext w:val="0"/>
        <w:keepLines w:val="0"/>
        <w:pageBreakBefore w:val="0"/>
        <w:widowControl w:val="0"/>
        <w:spacing w:before="120" w:beforeAutospacing="0" w:after="120" w:afterAutospacing="0" w:line="400" w:lineRule="exact"/>
        <w:ind w:firstLine="482"/>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评审方法与评审标准</w:t>
      </w:r>
    </w:p>
    <w:tbl>
      <w:tblPr>
        <w:tblStyle w:val="35"/>
        <w:tblW w:w="94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6"/>
        <w:gridCol w:w="7179"/>
        <w:gridCol w:w="780"/>
      </w:tblGrid>
      <w:tr w14:paraId="5A8B5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1446" w:type="dxa"/>
            <w:tcBorders>
              <w:right w:val="single" w:color="auto" w:sz="4" w:space="0"/>
            </w:tcBorders>
            <w:noWrap w:val="0"/>
            <w:vAlign w:val="center"/>
          </w:tcPr>
          <w:p w14:paraId="572E939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评审</w:t>
            </w:r>
          </w:p>
          <w:p w14:paraId="5B127BB8">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项目</w:t>
            </w:r>
          </w:p>
        </w:tc>
        <w:tc>
          <w:tcPr>
            <w:tcW w:w="7179" w:type="dxa"/>
            <w:tcBorders>
              <w:left w:val="single" w:color="auto" w:sz="4" w:space="0"/>
            </w:tcBorders>
            <w:noWrap w:val="0"/>
            <w:vAlign w:val="center"/>
          </w:tcPr>
          <w:p w14:paraId="104EECE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评审标准</w:t>
            </w:r>
          </w:p>
        </w:tc>
        <w:tc>
          <w:tcPr>
            <w:tcW w:w="780" w:type="dxa"/>
            <w:tcBorders>
              <w:bottom w:val="single" w:color="auto" w:sz="4" w:space="0"/>
            </w:tcBorders>
            <w:noWrap w:val="0"/>
            <w:vAlign w:val="center"/>
          </w:tcPr>
          <w:p w14:paraId="796E76D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最高</w:t>
            </w:r>
          </w:p>
          <w:p w14:paraId="417A7F9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分值</w:t>
            </w:r>
          </w:p>
        </w:tc>
      </w:tr>
      <w:tr w14:paraId="2822E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1446" w:type="dxa"/>
            <w:tcBorders>
              <w:right w:val="single" w:color="auto" w:sz="4" w:space="0"/>
            </w:tcBorders>
            <w:noWrap w:val="0"/>
            <w:vAlign w:val="center"/>
          </w:tcPr>
          <w:p w14:paraId="615FB77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投标</w:t>
            </w:r>
          </w:p>
          <w:p w14:paraId="4B87C14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报价</w:t>
            </w:r>
          </w:p>
        </w:tc>
        <w:tc>
          <w:tcPr>
            <w:tcW w:w="7179" w:type="dxa"/>
            <w:tcBorders>
              <w:left w:val="single" w:color="auto" w:sz="4" w:space="0"/>
              <w:right w:val="single" w:color="auto" w:sz="4" w:space="0"/>
            </w:tcBorders>
            <w:noWrap w:val="0"/>
            <w:vAlign w:val="center"/>
          </w:tcPr>
          <w:p w14:paraId="4258051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1.采用低价优先法，即满足招标文件要求且</w:t>
            </w:r>
            <w:r>
              <w:rPr>
                <w:rFonts w:hint="eastAsia" w:ascii="宋体" w:hAnsi="宋体" w:eastAsia="宋体" w:cs="宋体"/>
                <w:sz w:val="24"/>
                <w:szCs w:val="24"/>
                <w:lang w:val="en-US" w:eastAsia="zh-CN"/>
              </w:rPr>
              <w:t>最终</w:t>
            </w:r>
            <w:r>
              <w:rPr>
                <w:rFonts w:hint="eastAsia" w:ascii="宋体" w:hAnsi="宋体" w:eastAsia="宋体" w:cs="宋体"/>
                <w:sz w:val="24"/>
                <w:szCs w:val="24"/>
              </w:rPr>
              <w:t>投标价格最低的为评标基准价，其价格分为满分。</w:t>
            </w:r>
          </w:p>
          <w:p w14:paraId="08891DD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2.其他供应商的价格分统一按下列公式计算：投标报价得分＝（评标基准价/投标总报价）×</w:t>
            </w:r>
            <w:r>
              <w:rPr>
                <w:rFonts w:hint="eastAsia" w:ascii="宋体" w:hAnsi="宋体" w:eastAsia="宋体" w:cs="宋体"/>
                <w:sz w:val="24"/>
                <w:szCs w:val="24"/>
                <w:lang w:val="en-US" w:eastAsia="zh-CN"/>
              </w:rPr>
              <w:t>30</w:t>
            </w:r>
            <w:r>
              <w:rPr>
                <w:rFonts w:hint="eastAsia" w:ascii="宋体" w:hAnsi="宋体" w:eastAsia="宋体" w:cs="宋体"/>
                <w:sz w:val="24"/>
                <w:szCs w:val="24"/>
              </w:rPr>
              <w:t>（按四舍五入取至小数点后两位）</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7CBBB307">
            <w:pPr>
              <w:pStyle w:val="34"/>
              <w:keepNext w:val="0"/>
              <w:keepLines w:val="0"/>
              <w:pageBreakBefore w:val="0"/>
              <w:widowControl w:val="0"/>
              <w:kinsoku/>
              <w:wordWrap/>
              <w:overflowPunct/>
              <w:topLinePunct w:val="0"/>
              <w:autoSpaceDE/>
              <w:autoSpaceDN/>
              <w:bidi w:val="0"/>
              <w:adjustRightInd/>
              <w:snapToGrid/>
              <w:spacing w:line="300" w:lineRule="exact"/>
              <w:ind w:left="0" w:firstLine="0"/>
              <w:jc w:val="center"/>
              <w:textAlignment w:val="auto"/>
              <w:rPr>
                <w:rFonts w:hint="eastAsia" w:ascii="宋体" w:hAnsi="宋体" w:eastAsia="宋体" w:cs="宋体"/>
                <w:sz w:val="24"/>
                <w:szCs w:val="24"/>
                <w:lang w:val="en-US" w:eastAsia="zh-CN"/>
              </w:rPr>
            </w:pPr>
          </w:p>
          <w:p w14:paraId="08B204ED">
            <w:pPr>
              <w:pStyle w:val="34"/>
              <w:keepNext w:val="0"/>
              <w:keepLines w:val="0"/>
              <w:pageBreakBefore w:val="0"/>
              <w:widowControl w:val="0"/>
              <w:kinsoku/>
              <w:wordWrap/>
              <w:overflowPunct/>
              <w:topLinePunct w:val="0"/>
              <w:autoSpaceDE/>
              <w:autoSpaceDN/>
              <w:bidi w:val="0"/>
              <w:adjustRightInd/>
              <w:snapToGrid/>
              <w:spacing w:line="300" w:lineRule="exact"/>
              <w:ind w:left="0" w:firstLine="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30</w:t>
            </w:r>
          </w:p>
        </w:tc>
      </w:tr>
      <w:tr w14:paraId="79B35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46" w:type="dxa"/>
            <w:tcBorders>
              <w:right w:val="single" w:color="auto" w:sz="4" w:space="0"/>
            </w:tcBorders>
            <w:noWrap w:val="0"/>
            <w:vAlign w:val="center"/>
          </w:tcPr>
          <w:p w14:paraId="61F7579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服务方案</w:t>
            </w:r>
          </w:p>
        </w:tc>
        <w:tc>
          <w:tcPr>
            <w:tcW w:w="7179" w:type="dxa"/>
            <w:tcBorders>
              <w:left w:val="single" w:color="auto" w:sz="4" w:space="0"/>
              <w:bottom w:val="single" w:color="auto" w:sz="4" w:space="0"/>
            </w:tcBorders>
            <w:noWrap w:val="0"/>
            <w:vAlign w:val="center"/>
          </w:tcPr>
          <w:p w14:paraId="572C3B8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w:t>
            </w:r>
            <w:r>
              <w:rPr>
                <w:rFonts w:hint="eastAsia" w:ascii="宋体" w:hAnsi="宋体" w:eastAsia="宋体" w:cs="宋体"/>
                <w:b/>
                <w:bCs/>
                <w:sz w:val="24"/>
                <w:szCs w:val="24"/>
                <w:highlight w:val="none"/>
                <w:lang w:val="en-US" w:eastAsia="zh-CN"/>
              </w:rPr>
              <w:t>.</w:t>
            </w:r>
            <w:r>
              <w:rPr>
                <w:rFonts w:hint="eastAsia" w:ascii="宋体" w:hAnsi="宋体" w:eastAsia="宋体" w:cs="宋体"/>
                <w:b/>
                <w:bCs/>
                <w:sz w:val="24"/>
                <w:szCs w:val="20"/>
                <w:highlight w:val="white"/>
              </w:rPr>
              <w:t>总体服务方案</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10.5</w:t>
            </w:r>
            <w:r>
              <w:rPr>
                <w:rFonts w:hint="eastAsia" w:ascii="宋体" w:hAnsi="宋体" w:eastAsia="宋体" w:cs="宋体"/>
                <w:b/>
                <w:bCs/>
                <w:sz w:val="24"/>
                <w:szCs w:val="24"/>
                <w:highlight w:val="none"/>
              </w:rPr>
              <w:t>分）</w:t>
            </w:r>
          </w:p>
          <w:p w14:paraId="3E83A88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供应商应根据采购需求和本项目实际，提供本项目总体服务方案，包括但不限于：（1）项目管理理念；（2）管理工作目标；（3）项目服务定位；（4）</w:t>
            </w:r>
            <w:r>
              <w:rPr>
                <w:rFonts w:hint="eastAsia" w:ascii="宋体" w:hAnsi="宋体" w:eastAsia="宋体" w:cs="宋体"/>
                <w:sz w:val="24"/>
                <w:szCs w:val="20"/>
                <w:highlight w:val="white"/>
              </w:rPr>
              <w:t>重点、难点把控等情况的分析应对</w:t>
            </w:r>
            <w:r>
              <w:rPr>
                <w:rFonts w:hint="eastAsia" w:ascii="宋体" w:hAnsi="宋体" w:eastAsia="宋体" w:cs="宋体"/>
                <w:color w:val="000000"/>
                <w:sz w:val="24"/>
                <w:szCs w:val="24"/>
                <w:highlight w:val="none"/>
                <w:lang w:val="en-US" w:eastAsia="zh-CN"/>
              </w:rPr>
              <w:t>；（5）</w:t>
            </w:r>
            <w:r>
              <w:rPr>
                <w:rFonts w:hint="eastAsia" w:ascii="宋体" w:hAnsi="宋体" w:eastAsia="宋体" w:cs="宋体"/>
                <w:sz w:val="24"/>
                <w:szCs w:val="20"/>
                <w:highlight w:val="white"/>
              </w:rPr>
              <w:t>制度建设</w:t>
            </w:r>
            <w:r>
              <w:rPr>
                <w:rFonts w:hint="eastAsia" w:ascii="宋体" w:hAnsi="宋体" w:eastAsia="宋体" w:cs="宋体"/>
                <w:color w:val="000000"/>
                <w:sz w:val="24"/>
                <w:szCs w:val="24"/>
                <w:highlight w:val="none"/>
                <w:lang w:val="en-US" w:eastAsia="zh-CN"/>
              </w:rPr>
              <w:t>；（6）档案管理；（7）进场交接过渡方案（包括交接时间进度安排、人员培训、具体交接的内容等）。要求方案细致完整、针对性强、措施有力，方案的贯彻应能满足本项目各项服务要求。方案内容描述全面合理符合采购需求的得10.5分，每有一项内容缺失的扣1.5分；每有一处内容存在缺陷或不满足要求的扣0.5分，扣完为止。</w:t>
            </w:r>
          </w:p>
          <w:p w14:paraId="5564447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rPr>
              <w:t>组织机构设置、人员配备、培训与管理（</w:t>
            </w:r>
            <w:r>
              <w:rPr>
                <w:rFonts w:hint="eastAsia" w:ascii="宋体" w:hAnsi="宋体" w:eastAsia="宋体" w:cs="宋体"/>
                <w:b/>
                <w:bCs/>
                <w:sz w:val="24"/>
                <w:szCs w:val="24"/>
                <w:highlight w:val="none"/>
                <w:lang w:val="en-US" w:eastAsia="zh-CN"/>
              </w:rPr>
              <w:t>6</w:t>
            </w:r>
            <w:r>
              <w:rPr>
                <w:rFonts w:hint="eastAsia" w:ascii="宋体" w:hAnsi="宋体" w:eastAsia="宋体" w:cs="宋体"/>
                <w:b/>
                <w:bCs/>
                <w:sz w:val="24"/>
                <w:szCs w:val="24"/>
                <w:highlight w:val="none"/>
              </w:rPr>
              <w:t>分）</w:t>
            </w:r>
          </w:p>
          <w:p w14:paraId="7992E73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0"/>
                <w:highlight w:val="white"/>
                <w:lang w:eastAsia="zh-CN"/>
              </w:rPr>
              <w:t>供应商</w:t>
            </w:r>
            <w:r>
              <w:rPr>
                <w:rFonts w:hint="eastAsia" w:ascii="宋体" w:hAnsi="宋体" w:eastAsia="宋体" w:cs="宋体"/>
                <w:sz w:val="24"/>
                <w:szCs w:val="20"/>
                <w:highlight w:val="white"/>
              </w:rPr>
              <w:t>根据采购需求和本项目实际，</w:t>
            </w:r>
            <w:r>
              <w:rPr>
                <w:rFonts w:hint="eastAsia" w:ascii="宋体" w:hAnsi="宋体" w:cs="Courier New"/>
                <w:bCs/>
                <w:color w:val="000000"/>
                <w:sz w:val="24"/>
                <w:highlight w:val="white"/>
              </w:rPr>
              <w:t>提供组织机构设置、人员配置</w:t>
            </w:r>
            <w:r>
              <w:rPr>
                <w:rFonts w:hint="eastAsia" w:ascii="宋体" w:hAnsi="宋体" w:cs="Courier New"/>
                <w:bCs/>
                <w:color w:val="000000"/>
                <w:sz w:val="24"/>
                <w:highlight w:val="white"/>
                <w:lang w:eastAsia="zh-CN"/>
              </w:rPr>
              <w:t>、</w:t>
            </w:r>
            <w:r>
              <w:rPr>
                <w:rFonts w:hint="eastAsia" w:ascii="宋体" w:hAnsi="宋体" w:eastAsia="宋体" w:cs="宋体"/>
                <w:sz w:val="24"/>
                <w:szCs w:val="24"/>
                <w:highlight w:val="none"/>
              </w:rPr>
              <w:t>培训与管理</w:t>
            </w:r>
            <w:r>
              <w:rPr>
                <w:rFonts w:hint="eastAsia" w:ascii="宋体" w:hAnsi="宋体" w:cs="Courier New"/>
                <w:bCs/>
                <w:color w:val="000000"/>
                <w:sz w:val="24"/>
                <w:highlight w:val="white"/>
              </w:rPr>
              <w:t>方案</w:t>
            </w:r>
            <w:r>
              <w:rPr>
                <w:rFonts w:hint="eastAsia" w:ascii="宋体" w:hAnsi="宋体" w:eastAsia="宋体" w:cs="宋体"/>
                <w:color w:val="000000"/>
                <w:sz w:val="24"/>
                <w:szCs w:val="24"/>
                <w:highlight w:val="none"/>
                <w:lang w:val="en-US" w:eastAsia="zh-CN"/>
              </w:rPr>
              <w:t>，包括但不限于：（1）组织机构设置；（2）人员配备及岗位职责；（3）员工培训管理方案；（4）制定培训计划(包含培训内容、培训时间等)；要求方案细致完整、针对性强、措施有力，方案的贯彻应能满足本项目各项服务要求。方案内容描述全面合理符合采购需求的得6分，每有一项内容缺失的扣1.5分；每有一处内容存在缺陷或不满足要求的扣0.5分，扣完为止。</w:t>
            </w:r>
          </w:p>
          <w:p w14:paraId="1AA51D3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3.</w:t>
            </w:r>
            <w:r>
              <w:rPr>
                <w:rFonts w:hint="eastAsia" w:ascii="宋体" w:hAnsi="宋体" w:eastAsia="宋体" w:cs="宋体"/>
                <w:b/>
                <w:bCs/>
                <w:sz w:val="24"/>
                <w:szCs w:val="24"/>
                <w:highlight w:val="none"/>
              </w:rPr>
              <w:t>制度的建立（</w:t>
            </w:r>
            <w:r>
              <w:rPr>
                <w:rFonts w:hint="eastAsia" w:ascii="宋体" w:hAnsi="宋体" w:eastAsia="宋体" w:cs="宋体"/>
                <w:b/>
                <w:bCs/>
                <w:sz w:val="24"/>
                <w:szCs w:val="24"/>
                <w:highlight w:val="none"/>
                <w:lang w:val="en-US" w:eastAsia="zh-CN"/>
              </w:rPr>
              <w:t>7.5</w:t>
            </w:r>
            <w:r>
              <w:rPr>
                <w:rFonts w:hint="eastAsia" w:ascii="宋体" w:hAnsi="宋体" w:eastAsia="宋体" w:cs="宋体"/>
                <w:b/>
                <w:bCs/>
                <w:sz w:val="24"/>
                <w:szCs w:val="24"/>
                <w:highlight w:val="none"/>
              </w:rPr>
              <w:t>分）</w:t>
            </w:r>
          </w:p>
          <w:p w14:paraId="2A8743F6">
            <w:pPr>
              <w:keepNext w:val="0"/>
              <w:keepLines w:val="0"/>
              <w:pageBreakBefore w:val="0"/>
              <w:widowControl w:val="0"/>
              <w:kinsoku/>
              <w:wordWrap/>
              <w:overflowPunct/>
              <w:topLinePunct w:val="0"/>
              <w:autoSpaceDE/>
              <w:autoSpaceDN/>
              <w:bidi w:val="0"/>
              <w:adjustRightInd/>
              <w:snapToGrid/>
              <w:spacing w:line="360" w:lineRule="auto"/>
              <w:ind w:firstLine="513" w:firstLineChars="214"/>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供应商</w:t>
            </w:r>
            <w:r>
              <w:rPr>
                <w:rFonts w:hint="eastAsia" w:ascii="宋体" w:hAnsi="宋体" w:eastAsia="宋体" w:cs="宋体"/>
                <w:sz w:val="24"/>
                <w:szCs w:val="20"/>
                <w:highlight w:val="white"/>
              </w:rPr>
              <w:t>根据采购需求和本项目实际，</w:t>
            </w:r>
            <w:r>
              <w:rPr>
                <w:rFonts w:hint="eastAsia" w:ascii="宋体" w:hAnsi="宋体" w:cs="Courier New"/>
                <w:bCs/>
                <w:color w:val="000000"/>
                <w:sz w:val="24"/>
                <w:highlight w:val="white"/>
              </w:rPr>
              <w:t>提供</w:t>
            </w:r>
            <w:r>
              <w:rPr>
                <w:rFonts w:hint="eastAsia" w:ascii="宋体" w:hAnsi="宋体" w:cs="Courier New"/>
                <w:bCs/>
                <w:color w:val="000000"/>
                <w:sz w:val="24"/>
                <w:highlight w:val="white"/>
                <w:lang w:val="en-US" w:eastAsia="zh-CN"/>
              </w:rPr>
              <w:t>制度建立</w:t>
            </w:r>
            <w:r>
              <w:rPr>
                <w:rFonts w:hint="eastAsia" w:ascii="宋体" w:hAnsi="宋体" w:eastAsia="宋体" w:cs="宋体"/>
                <w:sz w:val="24"/>
                <w:szCs w:val="20"/>
                <w:highlight w:val="white"/>
              </w:rPr>
              <w:t>方案，</w:t>
            </w:r>
            <w:r>
              <w:rPr>
                <w:rFonts w:hint="eastAsia" w:ascii="宋体" w:hAnsi="宋体" w:eastAsia="宋体" w:cs="宋体"/>
                <w:color w:val="000000"/>
                <w:sz w:val="24"/>
                <w:szCs w:val="24"/>
                <w:highlight w:val="none"/>
                <w:lang w:val="en-US" w:eastAsia="zh-CN"/>
              </w:rPr>
              <w:t>包括但不限于：</w:t>
            </w:r>
            <w:r>
              <w:rPr>
                <w:rFonts w:hint="eastAsia" w:ascii="宋体" w:hAnsi="宋体" w:cs="Courier New"/>
                <w:bCs/>
                <w:color w:val="000000"/>
                <w:sz w:val="24"/>
                <w:highlight w:val="white"/>
                <w:lang w:eastAsia="zh-CN"/>
              </w:rPr>
              <w:t>（</w:t>
            </w:r>
            <w:r>
              <w:rPr>
                <w:rFonts w:hint="eastAsia" w:ascii="宋体" w:hAnsi="宋体" w:cs="Courier New"/>
                <w:bCs/>
                <w:color w:val="000000"/>
                <w:sz w:val="24"/>
                <w:highlight w:val="white"/>
                <w:lang w:val="en-US" w:eastAsia="zh-CN"/>
              </w:rPr>
              <w:t>1</w:t>
            </w:r>
            <w:r>
              <w:rPr>
                <w:rFonts w:hint="eastAsia" w:ascii="宋体" w:hAnsi="宋体" w:cs="Courier New"/>
                <w:bCs/>
                <w:color w:val="000000"/>
                <w:sz w:val="24"/>
                <w:highlight w:val="white"/>
                <w:lang w:eastAsia="zh-CN"/>
              </w:rPr>
              <w:t>）</w:t>
            </w:r>
            <w:r>
              <w:rPr>
                <w:rFonts w:ascii="宋体" w:hAnsi="宋体" w:eastAsia="宋体" w:cs="宋体"/>
                <w:sz w:val="24"/>
                <w:szCs w:val="24"/>
                <w:highlight w:val="none"/>
                <w:lang w:eastAsia="zh-CN"/>
              </w:rPr>
              <w:t>各项岗位管理制度</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rPr>
              <w:t>员工行为规范</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考核奖惩制度</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安全保卫制度</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rPr>
              <w:t>综合服务制度</w:t>
            </w:r>
            <w:r>
              <w:rPr>
                <w:rFonts w:hint="eastAsia" w:ascii="宋体" w:hAnsi="宋体" w:eastAsia="宋体" w:cs="宋体"/>
                <w:sz w:val="24"/>
                <w:szCs w:val="24"/>
                <w:lang w:eastAsia="zh-CN"/>
              </w:rPr>
              <w:t>。</w:t>
            </w:r>
            <w:r>
              <w:rPr>
                <w:rFonts w:hint="eastAsia" w:ascii="宋体" w:hAnsi="宋体" w:eastAsia="宋体" w:cs="宋体"/>
                <w:color w:val="000000"/>
                <w:sz w:val="24"/>
                <w:szCs w:val="24"/>
                <w:highlight w:val="none"/>
                <w:lang w:val="en-US" w:eastAsia="zh-CN"/>
              </w:rPr>
              <w:t>要求方案细致完整、针对性强、措施有力，方案的贯彻应能满足本项目各项服务要求。方案内容描述全面合理符合采购需求的得7.5分，每有一项内容缺失的扣1.5分；每有一处内容存在缺陷或不满足要求的扣0.5分，扣完为止。</w:t>
            </w:r>
          </w:p>
          <w:p w14:paraId="7965AE9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4.</w:t>
            </w:r>
            <w:r>
              <w:rPr>
                <w:rFonts w:hint="eastAsia" w:ascii="宋体" w:hAnsi="宋体" w:eastAsia="宋体" w:cs="宋体"/>
                <w:b/>
                <w:bCs/>
                <w:sz w:val="24"/>
                <w:szCs w:val="24"/>
                <w:highlight w:val="none"/>
                <w:lang w:eastAsia="zh-CN"/>
              </w:rPr>
              <w:t>服务质量标准实施方案</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6</w:t>
            </w:r>
            <w:r>
              <w:rPr>
                <w:rFonts w:hint="eastAsia" w:ascii="宋体" w:hAnsi="宋体" w:eastAsia="宋体" w:cs="宋体"/>
                <w:b/>
                <w:bCs/>
                <w:sz w:val="24"/>
                <w:szCs w:val="24"/>
                <w:highlight w:val="none"/>
              </w:rPr>
              <w:t>分）</w:t>
            </w:r>
          </w:p>
          <w:p w14:paraId="4C8AFA63">
            <w:pPr>
              <w:keepNext w:val="0"/>
              <w:keepLines w:val="0"/>
              <w:pageBreakBefore w:val="0"/>
              <w:widowControl w:val="0"/>
              <w:kinsoku/>
              <w:wordWrap/>
              <w:overflowPunct/>
              <w:topLinePunct w:val="0"/>
              <w:autoSpaceDE/>
              <w:autoSpaceDN/>
              <w:bidi w:val="0"/>
              <w:adjustRightInd/>
              <w:snapToGrid/>
              <w:spacing w:line="360" w:lineRule="auto"/>
              <w:ind w:firstLine="513" w:firstLineChars="214"/>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供应商</w:t>
            </w:r>
            <w:r>
              <w:rPr>
                <w:rFonts w:hint="eastAsia" w:ascii="宋体" w:hAnsi="宋体" w:eastAsia="宋体" w:cs="宋体"/>
                <w:sz w:val="24"/>
                <w:szCs w:val="20"/>
                <w:highlight w:val="white"/>
              </w:rPr>
              <w:t>根据采购需求和本项目实际，</w:t>
            </w:r>
            <w:r>
              <w:rPr>
                <w:rFonts w:hint="eastAsia" w:ascii="宋体" w:hAnsi="宋体" w:cs="Courier New"/>
                <w:bCs/>
                <w:color w:val="000000"/>
                <w:sz w:val="24"/>
                <w:highlight w:val="white"/>
              </w:rPr>
              <w:t>提供</w:t>
            </w:r>
            <w:r>
              <w:rPr>
                <w:rFonts w:hint="eastAsia" w:ascii="宋体" w:hAnsi="宋体" w:eastAsia="宋体" w:cs="宋体"/>
                <w:sz w:val="24"/>
                <w:szCs w:val="24"/>
                <w:highlight w:val="none"/>
                <w:lang w:eastAsia="zh-CN"/>
              </w:rPr>
              <w:t>服务质量标准实施方案</w:t>
            </w:r>
            <w:r>
              <w:rPr>
                <w:rFonts w:hint="eastAsia" w:ascii="宋体" w:hAnsi="宋体" w:eastAsia="宋体" w:cs="宋体"/>
                <w:sz w:val="24"/>
                <w:szCs w:val="20"/>
                <w:highlight w:val="white"/>
              </w:rPr>
              <w:t>，</w:t>
            </w:r>
            <w:r>
              <w:rPr>
                <w:rFonts w:hint="eastAsia" w:ascii="宋体" w:hAnsi="宋体" w:eastAsia="宋体" w:cs="宋体"/>
                <w:color w:val="000000"/>
                <w:sz w:val="24"/>
                <w:szCs w:val="24"/>
                <w:highlight w:val="none"/>
                <w:lang w:val="en-US" w:eastAsia="zh-CN"/>
              </w:rPr>
              <w:t>包括但不限于：（1）</w:t>
            </w:r>
            <w:r>
              <w:rPr>
                <w:rFonts w:hint="eastAsia" w:ascii="宋体" w:hAnsi="宋体" w:eastAsia="宋体" w:cs="宋体"/>
                <w:sz w:val="24"/>
                <w:szCs w:val="20"/>
                <w:highlight w:val="white"/>
              </w:rPr>
              <w:t>‌日常清洁</w:t>
            </w:r>
            <w:r>
              <w:rPr>
                <w:rFonts w:hint="eastAsia" w:ascii="宋体" w:hAnsi="宋体" w:eastAsia="宋体" w:cs="宋体"/>
                <w:sz w:val="24"/>
                <w:szCs w:val="20"/>
                <w:highlight w:val="white"/>
                <w:lang w:val="en-US" w:eastAsia="zh-CN"/>
              </w:rPr>
              <w:t>服务</w:t>
            </w:r>
            <w:r>
              <w:rPr>
                <w:rFonts w:hint="eastAsia" w:ascii="宋体" w:hAnsi="宋体" w:eastAsia="宋体" w:cs="宋体"/>
                <w:sz w:val="24"/>
                <w:highlight w:val="white"/>
                <w:lang w:eastAsia="zh-CN"/>
              </w:rPr>
              <w:t>；（</w:t>
            </w:r>
            <w:r>
              <w:rPr>
                <w:rFonts w:hint="eastAsia" w:ascii="宋体" w:hAnsi="宋体" w:eastAsia="宋体" w:cs="宋体"/>
                <w:sz w:val="24"/>
                <w:highlight w:val="white"/>
                <w:lang w:val="en-US" w:eastAsia="zh-CN"/>
              </w:rPr>
              <w:t>2</w:t>
            </w:r>
            <w:r>
              <w:rPr>
                <w:rFonts w:hint="eastAsia" w:ascii="宋体" w:hAnsi="宋体" w:eastAsia="宋体" w:cs="宋体"/>
                <w:sz w:val="24"/>
                <w:highlight w:val="white"/>
                <w:lang w:eastAsia="zh-CN"/>
              </w:rPr>
              <w:t>）</w:t>
            </w:r>
            <w:r>
              <w:rPr>
                <w:rFonts w:hint="eastAsia" w:ascii="宋体" w:hAnsi="宋体" w:eastAsia="宋体" w:cs="宋体"/>
                <w:sz w:val="24"/>
                <w:szCs w:val="20"/>
                <w:highlight w:val="white"/>
              </w:rPr>
              <w:t>安全管理</w:t>
            </w:r>
            <w:r>
              <w:rPr>
                <w:rFonts w:hint="eastAsia" w:ascii="宋体" w:hAnsi="宋体" w:eastAsia="宋体" w:cs="宋体"/>
                <w:sz w:val="24"/>
                <w:szCs w:val="20"/>
                <w:highlight w:val="white"/>
                <w:lang w:val="en-US" w:eastAsia="zh-CN"/>
              </w:rPr>
              <w:t>服务</w:t>
            </w:r>
            <w:r>
              <w:rPr>
                <w:rFonts w:hint="eastAsia" w:ascii="宋体" w:hAnsi="宋体" w:eastAsia="宋体" w:cs="宋体"/>
                <w:sz w:val="24"/>
                <w:highlight w:val="white"/>
                <w:lang w:eastAsia="zh-CN"/>
              </w:rPr>
              <w:t>；（</w:t>
            </w:r>
            <w:r>
              <w:rPr>
                <w:rFonts w:hint="eastAsia" w:ascii="宋体" w:hAnsi="宋体" w:eastAsia="宋体" w:cs="宋体"/>
                <w:sz w:val="24"/>
                <w:highlight w:val="white"/>
                <w:lang w:val="en-US" w:eastAsia="zh-CN"/>
              </w:rPr>
              <w:t>3</w:t>
            </w:r>
            <w:r>
              <w:rPr>
                <w:rFonts w:hint="eastAsia" w:ascii="宋体" w:hAnsi="宋体" w:eastAsia="宋体" w:cs="宋体"/>
                <w:sz w:val="24"/>
                <w:highlight w:val="white"/>
                <w:lang w:eastAsia="zh-CN"/>
              </w:rPr>
              <w:t>）</w:t>
            </w:r>
            <w:r>
              <w:rPr>
                <w:rFonts w:hint="eastAsia" w:ascii="宋体" w:hAnsi="宋体" w:eastAsia="宋体" w:cs="宋体"/>
                <w:sz w:val="24"/>
                <w:szCs w:val="20"/>
                <w:highlight w:val="white"/>
              </w:rPr>
              <w:t>‌门禁与监控</w:t>
            </w:r>
            <w:r>
              <w:rPr>
                <w:rFonts w:hint="eastAsia" w:ascii="宋体" w:hAnsi="宋体" w:eastAsia="宋体" w:cs="宋体"/>
                <w:sz w:val="24"/>
                <w:szCs w:val="20"/>
                <w:highlight w:val="white"/>
                <w:lang w:val="en-US" w:eastAsia="zh-CN"/>
              </w:rPr>
              <w:t>管理服务；（4）</w:t>
            </w:r>
            <w:r>
              <w:rPr>
                <w:rFonts w:hint="eastAsia" w:ascii="宋体" w:hAnsi="宋体" w:eastAsia="宋体" w:cs="宋体"/>
                <w:sz w:val="24"/>
                <w:szCs w:val="20"/>
                <w:highlight w:val="white"/>
              </w:rPr>
              <w:t>公共秩序维护</w:t>
            </w:r>
            <w:r>
              <w:rPr>
                <w:rFonts w:hint="eastAsia" w:ascii="宋体" w:hAnsi="宋体" w:eastAsia="宋体" w:cs="宋体"/>
                <w:sz w:val="24"/>
                <w:szCs w:val="20"/>
                <w:highlight w:val="white"/>
                <w:lang w:val="en-US" w:eastAsia="zh-CN"/>
              </w:rPr>
              <w:t>服务；</w:t>
            </w:r>
            <w:r>
              <w:rPr>
                <w:rFonts w:hint="eastAsia" w:ascii="宋体" w:hAnsi="宋体" w:cs="Courier New"/>
                <w:bCs/>
                <w:color w:val="000000"/>
                <w:sz w:val="24"/>
                <w:highlight w:val="white"/>
                <w:lang w:val="en-US" w:eastAsia="zh-CN"/>
              </w:rPr>
              <w:t>要求方案细致完整、针对性强、措施有力，方案的贯彻</w:t>
            </w:r>
            <w:r>
              <w:rPr>
                <w:rFonts w:hint="eastAsia" w:ascii="宋体" w:hAnsi="宋体" w:eastAsia="宋体" w:cs="宋体"/>
                <w:color w:val="000000"/>
                <w:sz w:val="24"/>
                <w:szCs w:val="24"/>
                <w:highlight w:val="none"/>
                <w:lang w:val="en-US" w:eastAsia="zh-CN"/>
              </w:rPr>
              <w:t>应能满足本项目各项服务要求。方案内容描述全面合理符合采购需求的得6分，每有一项内容缺失的扣1.5分；每有一处内容存在缺陷或不满足要求的扣0.5分，扣完为止。</w:t>
            </w:r>
          </w:p>
          <w:p w14:paraId="46A487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5.</w:t>
            </w:r>
            <w:r>
              <w:rPr>
                <w:rFonts w:hint="eastAsia" w:ascii="宋体" w:hAnsi="宋体" w:eastAsia="宋体" w:cs="宋体"/>
                <w:b/>
                <w:bCs/>
                <w:sz w:val="24"/>
                <w:szCs w:val="24"/>
                <w:highlight w:val="none"/>
              </w:rPr>
              <w:t>适合本项目的各种突发事件的处理预案（</w:t>
            </w:r>
            <w:r>
              <w:rPr>
                <w:rFonts w:hint="eastAsia" w:ascii="宋体" w:hAnsi="宋体" w:eastAsia="宋体" w:cs="宋体"/>
                <w:b/>
                <w:bCs/>
                <w:sz w:val="24"/>
                <w:szCs w:val="24"/>
                <w:highlight w:val="none"/>
                <w:lang w:val="en-US" w:eastAsia="zh-CN"/>
              </w:rPr>
              <w:t>7.5</w:t>
            </w:r>
            <w:r>
              <w:rPr>
                <w:rFonts w:hint="eastAsia" w:ascii="宋体" w:hAnsi="宋体" w:eastAsia="宋体" w:cs="宋体"/>
                <w:b/>
                <w:bCs/>
                <w:sz w:val="24"/>
                <w:szCs w:val="24"/>
                <w:highlight w:val="none"/>
              </w:rPr>
              <w:t>分）</w:t>
            </w:r>
          </w:p>
          <w:p w14:paraId="6344A102">
            <w:pPr>
              <w:keepNext w:val="0"/>
              <w:keepLines w:val="0"/>
              <w:pageBreakBefore w:val="0"/>
              <w:widowControl w:val="0"/>
              <w:kinsoku/>
              <w:wordWrap/>
              <w:overflowPunct/>
              <w:topLinePunct w:val="0"/>
              <w:autoSpaceDE/>
              <w:autoSpaceDN/>
              <w:bidi w:val="0"/>
              <w:adjustRightInd/>
              <w:snapToGrid/>
              <w:spacing w:line="360" w:lineRule="auto"/>
              <w:ind w:firstLine="513" w:firstLineChars="214"/>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供应商</w:t>
            </w:r>
            <w:r>
              <w:rPr>
                <w:rFonts w:hint="eastAsia" w:ascii="宋体" w:hAnsi="宋体" w:eastAsia="宋体" w:cs="宋体"/>
                <w:sz w:val="24"/>
                <w:szCs w:val="20"/>
                <w:highlight w:val="white"/>
              </w:rPr>
              <w:t>根据采购需求和本项目实际，</w:t>
            </w:r>
            <w:r>
              <w:rPr>
                <w:rFonts w:hint="eastAsia" w:ascii="宋体" w:hAnsi="宋体" w:cs="Courier New"/>
                <w:bCs/>
                <w:color w:val="000000"/>
                <w:sz w:val="24"/>
                <w:highlight w:val="white"/>
              </w:rPr>
              <w:t>提供</w:t>
            </w:r>
            <w:r>
              <w:rPr>
                <w:rFonts w:hint="eastAsia" w:ascii="宋体" w:hAnsi="宋体" w:eastAsia="宋体" w:cs="宋体"/>
                <w:sz w:val="24"/>
                <w:szCs w:val="24"/>
                <w:highlight w:val="none"/>
              </w:rPr>
              <w:t>适合本项目的各种突发事件的处理预案</w:t>
            </w:r>
            <w:r>
              <w:rPr>
                <w:rFonts w:hint="eastAsia" w:ascii="宋体" w:hAnsi="宋体" w:eastAsia="宋体" w:cs="宋体"/>
                <w:sz w:val="24"/>
                <w:szCs w:val="20"/>
                <w:highlight w:val="white"/>
              </w:rPr>
              <w:t>，</w:t>
            </w:r>
            <w:r>
              <w:rPr>
                <w:rFonts w:hint="eastAsia" w:ascii="宋体" w:hAnsi="宋体" w:eastAsia="宋体" w:cs="宋体"/>
                <w:color w:val="000000"/>
                <w:sz w:val="24"/>
                <w:szCs w:val="24"/>
                <w:highlight w:val="none"/>
                <w:lang w:val="en-US" w:eastAsia="zh-CN"/>
              </w:rPr>
              <w:t>包括但不限于：</w:t>
            </w:r>
            <w:r>
              <w:rPr>
                <w:rFonts w:hint="eastAsia" w:ascii="宋体" w:hAnsi="宋体" w:cs="Courier New"/>
                <w:bCs/>
                <w:color w:val="000000"/>
                <w:sz w:val="24"/>
                <w:highlight w:val="white"/>
                <w:lang w:eastAsia="zh-CN"/>
              </w:rPr>
              <w:t>（</w:t>
            </w:r>
            <w:r>
              <w:rPr>
                <w:rFonts w:hint="eastAsia" w:ascii="宋体" w:hAnsi="宋体" w:cs="Courier New"/>
                <w:bCs/>
                <w:color w:val="000000"/>
                <w:sz w:val="24"/>
                <w:highlight w:val="white"/>
                <w:lang w:val="en-US" w:eastAsia="zh-CN"/>
              </w:rPr>
              <w:t>1</w:t>
            </w:r>
            <w:r>
              <w:rPr>
                <w:rFonts w:hint="eastAsia" w:ascii="宋体" w:hAnsi="宋体" w:cs="Courier New"/>
                <w:bCs/>
                <w:color w:val="000000"/>
                <w:sz w:val="24"/>
                <w:highlight w:val="white"/>
                <w:lang w:eastAsia="zh-CN"/>
              </w:rPr>
              <w:t>）</w:t>
            </w:r>
            <w:r>
              <w:rPr>
                <w:rFonts w:hint="eastAsia"/>
                <w:color w:val="auto"/>
                <w:sz w:val="24"/>
                <w:szCs w:val="24"/>
              </w:rPr>
              <w:t>自然灾害应急预</w:t>
            </w:r>
            <w:r>
              <w:rPr>
                <w:rFonts w:hint="eastAsia" w:ascii="宋体" w:hAnsi="宋体" w:cs="Courier New"/>
                <w:bCs/>
                <w:color w:val="000000"/>
                <w:sz w:val="24"/>
                <w:highlight w:val="white"/>
                <w:lang w:val="en-US" w:eastAsia="zh-CN"/>
              </w:rPr>
              <w:t>案；（2）安全事故应急预案；（3）公共卫生事件应急预案；（4）重大节日及大型活动应急预案；（5）应急预案体系保障措施。要求方案细致完整、针对性强、措施有力，方案的贯彻</w:t>
            </w:r>
            <w:r>
              <w:rPr>
                <w:rFonts w:hint="eastAsia" w:ascii="宋体" w:hAnsi="宋体" w:eastAsia="宋体" w:cs="宋体"/>
                <w:color w:val="000000"/>
                <w:sz w:val="24"/>
                <w:szCs w:val="24"/>
                <w:highlight w:val="none"/>
                <w:lang w:val="en-US" w:eastAsia="zh-CN"/>
              </w:rPr>
              <w:t>应能满足本项目各项服务要求。方案内容描述全面合理符合采购需求的得7.5分，每有一项内容缺失的扣1.5分；每有一处内容存在缺陷或不满足要求的扣0.5分，扣完为止。</w:t>
            </w:r>
          </w:p>
          <w:p w14:paraId="532646F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6.</w:t>
            </w:r>
            <w:r>
              <w:rPr>
                <w:rFonts w:hint="eastAsia" w:ascii="宋体" w:hAnsi="宋体" w:eastAsia="宋体" w:cs="宋体"/>
                <w:b/>
                <w:bCs/>
                <w:sz w:val="24"/>
                <w:szCs w:val="24"/>
                <w:highlight w:val="none"/>
              </w:rPr>
              <w:t>日常管理措施（</w:t>
            </w:r>
            <w:r>
              <w:rPr>
                <w:rFonts w:hint="eastAsia" w:ascii="宋体" w:hAnsi="宋体" w:eastAsia="宋体" w:cs="宋体"/>
                <w:b/>
                <w:bCs/>
                <w:sz w:val="24"/>
                <w:szCs w:val="24"/>
                <w:highlight w:val="none"/>
                <w:lang w:val="en-US" w:eastAsia="zh-CN"/>
              </w:rPr>
              <w:t>4.5</w:t>
            </w:r>
            <w:r>
              <w:rPr>
                <w:rFonts w:hint="eastAsia" w:ascii="宋体" w:hAnsi="宋体" w:eastAsia="宋体" w:cs="宋体"/>
                <w:b/>
                <w:bCs/>
                <w:sz w:val="24"/>
                <w:szCs w:val="24"/>
                <w:highlight w:val="none"/>
              </w:rPr>
              <w:t>分）</w:t>
            </w:r>
          </w:p>
          <w:p w14:paraId="0E258B17">
            <w:pPr>
              <w:keepNext w:val="0"/>
              <w:keepLines w:val="0"/>
              <w:pageBreakBefore w:val="0"/>
              <w:widowControl w:val="0"/>
              <w:kinsoku/>
              <w:wordWrap/>
              <w:overflowPunct/>
              <w:topLinePunct w:val="0"/>
              <w:autoSpaceDE/>
              <w:autoSpaceDN/>
              <w:bidi w:val="0"/>
              <w:adjustRightInd/>
              <w:snapToGrid/>
              <w:spacing w:line="360" w:lineRule="auto"/>
              <w:ind w:firstLine="513" w:firstLineChars="214"/>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供应商</w:t>
            </w:r>
            <w:r>
              <w:rPr>
                <w:rFonts w:hint="eastAsia" w:ascii="宋体" w:hAnsi="宋体" w:eastAsia="宋体" w:cs="宋体"/>
                <w:sz w:val="24"/>
                <w:szCs w:val="20"/>
                <w:highlight w:val="white"/>
              </w:rPr>
              <w:t>根据采购需求和本项目实际，</w:t>
            </w:r>
            <w:r>
              <w:rPr>
                <w:rFonts w:hint="eastAsia" w:ascii="宋体" w:hAnsi="宋体" w:cs="Courier New"/>
                <w:bCs/>
                <w:color w:val="000000"/>
                <w:sz w:val="24"/>
                <w:highlight w:val="white"/>
              </w:rPr>
              <w:t>提供</w:t>
            </w:r>
            <w:r>
              <w:rPr>
                <w:rFonts w:hint="eastAsia" w:ascii="宋体" w:hAnsi="宋体" w:eastAsia="宋体" w:cs="宋体"/>
                <w:sz w:val="24"/>
                <w:szCs w:val="24"/>
                <w:highlight w:val="none"/>
              </w:rPr>
              <w:t>日常管理措施</w:t>
            </w:r>
            <w:r>
              <w:rPr>
                <w:rFonts w:hint="eastAsia" w:ascii="宋体" w:hAnsi="宋体" w:eastAsia="宋体" w:cs="宋体"/>
                <w:sz w:val="24"/>
                <w:szCs w:val="20"/>
                <w:highlight w:val="white"/>
              </w:rPr>
              <w:t>方案，</w:t>
            </w:r>
            <w:r>
              <w:rPr>
                <w:rFonts w:hint="eastAsia" w:ascii="宋体" w:hAnsi="宋体" w:eastAsia="宋体" w:cs="宋体"/>
                <w:color w:val="000000"/>
                <w:sz w:val="24"/>
                <w:szCs w:val="24"/>
                <w:highlight w:val="none"/>
                <w:lang w:val="en-US" w:eastAsia="zh-CN"/>
              </w:rPr>
              <w:t>包括但不限于：（1）</w:t>
            </w:r>
            <w:r>
              <w:rPr>
                <w:rFonts w:hint="eastAsia" w:ascii="宋体" w:hAnsi="宋体" w:eastAsia="宋体" w:cs="宋体"/>
                <w:sz w:val="24"/>
                <w:highlight w:val="white"/>
                <w:lang w:val="en-US" w:eastAsia="zh-CN"/>
              </w:rPr>
              <w:t>卫生</w:t>
            </w:r>
            <w:r>
              <w:rPr>
                <w:rFonts w:hint="eastAsia" w:ascii="宋体" w:hAnsi="宋体" w:eastAsia="宋体" w:cs="宋体"/>
                <w:sz w:val="24"/>
                <w:highlight w:val="white"/>
              </w:rPr>
              <w:t>保洁日常管理措施方案</w:t>
            </w:r>
            <w:r>
              <w:rPr>
                <w:rFonts w:hint="eastAsia" w:ascii="宋体" w:hAnsi="宋体" w:eastAsia="宋体" w:cs="宋体"/>
                <w:sz w:val="24"/>
                <w:highlight w:val="white"/>
                <w:lang w:eastAsia="zh-CN"/>
              </w:rPr>
              <w:t>；（</w:t>
            </w:r>
            <w:r>
              <w:rPr>
                <w:rFonts w:hint="eastAsia" w:ascii="宋体" w:hAnsi="宋体" w:eastAsia="宋体" w:cs="宋体"/>
                <w:sz w:val="24"/>
                <w:highlight w:val="white"/>
                <w:lang w:val="en-US" w:eastAsia="zh-CN"/>
              </w:rPr>
              <w:t>2</w:t>
            </w:r>
            <w:r>
              <w:rPr>
                <w:rFonts w:hint="eastAsia" w:ascii="宋体" w:hAnsi="宋体" w:eastAsia="宋体" w:cs="宋体"/>
                <w:sz w:val="24"/>
                <w:highlight w:val="white"/>
                <w:lang w:eastAsia="zh-CN"/>
              </w:rPr>
              <w:t>）</w:t>
            </w:r>
            <w:r>
              <w:rPr>
                <w:rFonts w:hint="eastAsia" w:ascii="宋体" w:hAnsi="宋体" w:eastAsia="宋体" w:cs="宋体"/>
                <w:sz w:val="24"/>
                <w:highlight w:val="white"/>
                <w:lang w:val="en-US" w:eastAsia="zh-CN"/>
              </w:rPr>
              <w:t>安全保卫</w:t>
            </w:r>
            <w:r>
              <w:rPr>
                <w:rFonts w:hint="eastAsia" w:ascii="宋体" w:hAnsi="宋体" w:eastAsia="宋体" w:cs="宋体"/>
                <w:sz w:val="24"/>
                <w:highlight w:val="white"/>
              </w:rPr>
              <w:t>日常管理措施方案</w:t>
            </w:r>
            <w:r>
              <w:rPr>
                <w:rFonts w:hint="eastAsia" w:ascii="宋体" w:hAnsi="宋体" w:eastAsia="宋体" w:cs="宋体"/>
                <w:sz w:val="24"/>
                <w:highlight w:val="white"/>
                <w:lang w:eastAsia="zh-CN"/>
              </w:rPr>
              <w:t>；（</w:t>
            </w:r>
            <w:r>
              <w:rPr>
                <w:rFonts w:hint="eastAsia" w:ascii="宋体" w:hAnsi="宋体" w:eastAsia="宋体" w:cs="宋体"/>
                <w:sz w:val="24"/>
                <w:highlight w:val="white"/>
                <w:lang w:val="en-US" w:eastAsia="zh-CN"/>
              </w:rPr>
              <w:t>3</w:t>
            </w:r>
            <w:r>
              <w:rPr>
                <w:rFonts w:hint="eastAsia" w:ascii="宋体" w:hAnsi="宋体" w:eastAsia="宋体" w:cs="宋体"/>
                <w:sz w:val="24"/>
                <w:highlight w:val="white"/>
                <w:lang w:eastAsia="zh-CN"/>
              </w:rPr>
              <w:t>）</w:t>
            </w:r>
            <w:r>
              <w:rPr>
                <w:rFonts w:hint="eastAsia" w:ascii="宋体" w:hAnsi="宋体" w:eastAsia="宋体" w:cs="宋体"/>
                <w:sz w:val="24"/>
                <w:highlight w:val="white"/>
              </w:rPr>
              <w:t>其他服务日常管理措施方案</w:t>
            </w:r>
            <w:r>
              <w:rPr>
                <w:rFonts w:hint="eastAsia" w:ascii="宋体" w:hAnsi="宋体" w:eastAsia="宋体" w:cs="宋体"/>
                <w:sz w:val="24"/>
                <w:highlight w:val="white"/>
                <w:lang w:eastAsia="zh-CN"/>
              </w:rPr>
              <w:t>；</w:t>
            </w:r>
            <w:r>
              <w:rPr>
                <w:rFonts w:hint="eastAsia" w:ascii="宋体" w:hAnsi="宋体" w:cs="Courier New"/>
                <w:bCs/>
                <w:color w:val="000000"/>
                <w:sz w:val="24"/>
                <w:highlight w:val="white"/>
                <w:lang w:val="en-US" w:eastAsia="zh-CN"/>
              </w:rPr>
              <w:t>要求方案细致完整、针对性强、措施有力，方案的贯彻</w:t>
            </w:r>
            <w:r>
              <w:rPr>
                <w:rFonts w:hint="eastAsia" w:ascii="宋体" w:hAnsi="宋体" w:eastAsia="宋体" w:cs="宋体"/>
                <w:color w:val="000000"/>
                <w:sz w:val="24"/>
                <w:szCs w:val="24"/>
                <w:highlight w:val="none"/>
                <w:lang w:val="en-US" w:eastAsia="zh-CN"/>
              </w:rPr>
              <w:t>应能满足本项目各项服务要求。方案内容描述全面合理符合采购需求的得4.5分，每有一项内容缺失的扣1.5分；每有一处内容存在缺陷或不满足要求的扣0.5分，扣完为止。</w:t>
            </w:r>
          </w:p>
          <w:p w14:paraId="40993007">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eastAsia="宋体" w:cs="宋体"/>
                <w:b/>
                <w:bCs/>
                <w:color w:val="000000"/>
                <w:sz w:val="24"/>
                <w:szCs w:val="24"/>
                <w:highlight w:val="none"/>
                <w:lang w:val="en-US" w:eastAsia="zh-CN"/>
              </w:rPr>
              <w:t>以上缺陷或不满足指:内容不全面、与实际需求不符、内容不清晰或交叉混乱、套用其他项目方案、有规范性或常识性错误、存在无关的事项、凭空编造、存在不可能实现的夸大情形等任意一种情形；未提供方案不得分。</w:t>
            </w:r>
          </w:p>
        </w:tc>
        <w:tc>
          <w:tcPr>
            <w:tcW w:w="780" w:type="dxa"/>
            <w:tcBorders>
              <w:top w:val="single" w:color="auto" w:sz="4" w:space="0"/>
              <w:bottom w:val="single" w:color="auto" w:sz="4" w:space="0"/>
            </w:tcBorders>
            <w:noWrap w:val="0"/>
            <w:vAlign w:val="center"/>
          </w:tcPr>
          <w:p w14:paraId="72414AB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42</w:t>
            </w:r>
          </w:p>
        </w:tc>
      </w:tr>
      <w:tr w14:paraId="47FEF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5" w:hRule="atLeast"/>
          <w:jc w:val="center"/>
        </w:trPr>
        <w:tc>
          <w:tcPr>
            <w:tcW w:w="1446" w:type="dxa"/>
            <w:tcBorders>
              <w:right w:val="single" w:color="auto" w:sz="4" w:space="0"/>
            </w:tcBorders>
            <w:noWrap w:val="0"/>
            <w:vAlign w:val="center"/>
          </w:tcPr>
          <w:p w14:paraId="36141E0D">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供应商业绩</w:t>
            </w:r>
          </w:p>
        </w:tc>
        <w:tc>
          <w:tcPr>
            <w:tcW w:w="7179" w:type="dxa"/>
            <w:tcBorders>
              <w:top w:val="single" w:color="auto" w:sz="4" w:space="0"/>
              <w:left w:val="single" w:color="auto" w:sz="4" w:space="0"/>
              <w:bottom w:val="single" w:color="auto" w:sz="4" w:space="0"/>
            </w:tcBorders>
            <w:noWrap w:val="0"/>
            <w:vAlign w:val="center"/>
          </w:tcPr>
          <w:p w14:paraId="25E8D117">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pPr>
            <w:r>
              <w:rPr>
                <w:rFonts w:hint="eastAsia" w:ascii="宋体" w:hAnsi="宋体" w:eastAsia="宋体" w:cs="宋体"/>
                <w:color w:val="000000"/>
                <w:sz w:val="24"/>
                <w:szCs w:val="24"/>
              </w:rPr>
              <w:t>投标人自202</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年1月1日以来(以合同签订时间为准)承接过类似物业服务项目业绩的，每提供1个类似业绩得1分，本项最高得</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分。</w:t>
            </w:r>
          </w:p>
          <w:p w14:paraId="52EDB5AE">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ascii="宋体" w:hAnsi="宋体" w:eastAsia="宋体" w:cs="宋体"/>
                <w:sz w:val="24"/>
                <w:szCs w:val="24"/>
              </w:rPr>
            </w:pPr>
            <w:r>
              <w:rPr>
                <w:rFonts w:hint="eastAsia" w:ascii="宋体" w:hAnsi="宋体" w:eastAsia="宋体" w:cs="宋体"/>
                <w:color w:val="000000"/>
                <w:sz w:val="24"/>
                <w:szCs w:val="24"/>
              </w:rPr>
              <w:t>注：类似业绩</w:t>
            </w:r>
            <w:r>
              <w:rPr>
                <w:rFonts w:hint="eastAsia" w:ascii="宋体" w:hAnsi="宋体" w:eastAsia="宋体" w:cs="宋体"/>
                <w:color w:val="000000"/>
                <w:sz w:val="24"/>
                <w:szCs w:val="24"/>
                <w:lang w:val="en-US" w:eastAsia="zh-CN"/>
              </w:rPr>
              <w:t>服务内容至少需包含保洁、保安、工程维修服务</w:t>
            </w:r>
            <w:r>
              <w:rPr>
                <w:rFonts w:hint="eastAsia" w:ascii="宋体" w:hAnsi="宋体" w:eastAsia="宋体" w:cs="宋体"/>
                <w:color w:val="000000"/>
                <w:sz w:val="24"/>
                <w:szCs w:val="24"/>
              </w:rPr>
              <w:t>。投标人须提供合同原件扫描件并加盖投标人公章，合同中必须包含服务内容、合同签订时间等信息，否则不计分。</w:t>
            </w:r>
          </w:p>
        </w:tc>
        <w:tc>
          <w:tcPr>
            <w:tcW w:w="780" w:type="dxa"/>
            <w:tcBorders>
              <w:top w:val="single" w:color="auto" w:sz="4" w:space="0"/>
              <w:bottom w:val="single" w:color="auto" w:sz="4" w:space="0"/>
            </w:tcBorders>
            <w:noWrap w:val="0"/>
            <w:vAlign w:val="center"/>
          </w:tcPr>
          <w:p w14:paraId="0351334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w:t>
            </w:r>
          </w:p>
        </w:tc>
      </w:tr>
      <w:tr w14:paraId="598E8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1446" w:type="dxa"/>
            <w:tcBorders>
              <w:right w:val="single" w:color="auto" w:sz="4" w:space="0"/>
            </w:tcBorders>
            <w:shd w:val="clear" w:color="auto" w:fill="auto"/>
            <w:noWrap w:val="0"/>
            <w:vAlign w:val="center"/>
          </w:tcPr>
          <w:p w14:paraId="5D7EA39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rPr>
              <w:t>人员配备</w:t>
            </w:r>
          </w:p>
        </w:tc>
        <w:tc>
          <w:tcPr>
            <w:tcW w:w="7179" w:type="dxa"/>
            <w:tcBorders>
              <w:top w:val="single" w:color="auto" w:sz="4" w:space="0"/>
              <w:left w:val="single" w:color="auto" w:sz="4" w:space="0"/>
              <w:bottom w:val="single" w:color="auto" w:sz="4" w:space="0"/>
            </w:tcBorders>
            <w:shd w:val="clear" w:color="auto" w:fill="auto"/>
            <w:noWrap w:val="0"/>
            <w:vAlign w:val="center"/>
          </w:tcPr>
          <w:p w14:paraId="15E7D67E">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0"/>
                <w:lang w:val="zh-CN"/>
              </w:rPr>
            </w:pPr>
            <w:r>
              <w:rPr>
                <w:rFonts w:hint="eastAsia" w:ascii="宋体" w:hAnsi="宋体" w:cs="宋体"/>
                <w:color w:val="auto"/>
                <w:sz w:val="24"/>
                <w:szCs w:val="20"/>
                <w:lang w:val="zh-CN"/>
              </w:rPr>
              <w:t>1、项目经理（4分）</w:t>
            </w:r>
          </w:p>
          <w:p w14:paraId="18811119">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0"/>
                <w:lang w:val="zh-CN"/>
              </w:rPr>
            </w:pPr>
            <w:r>
              <w:rPr>
                <w:rFonts w:hint="eastAsia" w:ascii="宋体" w:hAnsi="宋体" w:cs="宋体"/>
                <w:color w:val="auto"/>
                <w:sz w:val="24"/>
                <w:szCs w:val="20"/>
                <w:lang w:val="zh-CN"/>
              </w:rPr>
              <w:t>同时具有本科及以上学历、中级及以上消防设施操作员证、具有三级（高级）及以上保安员证书、三级（高级）及以上物业管理师证书的得</w:t>
            </w:r>
            <w:r>
              <w:rPr>
                <w:rFonts w:hint="eastAsia" w:ascii="宋体" w:hAnsi="宋体" w:cs="宋体"/>
                <w:color w:val="auto"/>
                <w:sz w:val="24"/>
                <w:szCs w:val="20"/>
                <w:lang w:val="en-US" w:eastAsia="zh-CN"/>
              </w:rPr>
              <w:t>4</w:t>
            </w:r>
            <w:r>
              <w:rPr>
                <w:rFonts w:hint="eastAsia" w:ascii="宋体" w:hAnsi="宋体" w:cs="宋体"/>
                <w:color w:val="auto"/>
                <w:sz w:val="24"/>
                <w:szCs w:val="20"/>
                <w:lang w:val="zh-CN"/>
              </w:rPr>
              <w:t>分；本项最高得4分。</w:t>
            </w:r>
          </w:p>
          <w:p w14:paraId="04406497">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0"/>
                <w:lang w:val="zh-CN"/>
              </w:rPr>
            </w:pPr>
            <w:r>
              <w:rPr>
                <w:rFonts w:hint="eastAsia" w:ascii="宋体" w:hAnsi="宋体" w:cs="宋体"/>
                <w:color w:val="auto"/>
                <w:sz w:val="24"/>
                <w:szCs w:val="20"/>
                <w:lang w:val="zh-CN"/>
              </w:rPr>
              <w:t>2、保安</w:t>
            </w:r>
            <w:r>
              <w:rPr>
                <w:rFonts w:hint="eastAsia" w:ascii="宋体" w:hAnsi="宋体" w:cs="宋体"/>
                <w:color w:val="auto"/>
                <w:sz w:val="24"/>
                <w:szCs w:val="20"/>
                <w:lang w:val="en-US" w:eastAsia="zh-CN"/>
              </w:rPr>
              <w:t>主管</w:t>
            </w:r>
            <w:r>
              <w:rPr>
                <w:rFonts w:hint="eastAsia" w:ascii="宋体" w:hAnsi="宋体" w:cs="宋体"/>
                <w:color w:val="auto"/>
                <w:sz w:val="24"/>
                <w:szCs w:val="20"/>
                <w:lang w:val="zh-CN"/>
              </w:rPr>
              <w:t>（2分）</w:t>
            </w:r>
          </w:p>
          <w:p w14:paraId="6896B36E">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0"/>
                <w:lang w:val="zh-CN"/>
              </w:rPr>
            </w:pPr>
            <w:r>
              <w:rPr>
                <w:rFonts w:hint="eastAsia" w:ascii="宋体" w:hAnsi="宋体" w:cs="宋体"/>
                <w:color w:val="auto"/>
                <w:sz w:val="24"/>
                <w:szCs w:val="20"/>
                <w:lang w:val="zh-CN"/>
              </w:rPr>
              <w:t>同时具有中级及以上消防设施操作员证、三级（高级）及以上保安员证书的得2分</w:t>
            </w:r>
            <w:r>
              <w:rPr>
                <w:rFonts w:hint="eastAsia" w:ascii="宋体" w:hAnsi="宋体" w:cs="宋体"/>
                <w:color w:val="auto"/>
                <w:sz w:val="24"/>
                <w:szCs w:val="20"/>
                <w:lang w:val="zh-CN" w:eastAsia="zh-CN"/>
              </w:rPr>
              <w:t>，</w:t>
            </w:r>
            <w:r>
              <w:rPr>
                <w:rFonts w:hint="eastAsia" w:ascii="宋体" w:hAnsi="宋体" w:cs="宋体"/>
                <w:color w:val="auto"/>
                <w:sz w:val="24"/>
                <w:szCs w:val="20"/>
                <w:lang w:val="zh-CN"/>
              </w:rPr>
              <w:t>本项最高得2分。</w:t>
            </w:r>
          </w:p>
          <w:p w14:paraId="0F66244D">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0"/>
                <w:lang w:val="zh-CN"/>
              </w:rPr>
            </w:pPr>
            <w:r>
              <w:rPr>
                <w:rFonts w:hint="eastAsia" w:ascii="宋体" w:hAnsi="宋体" w:cs="宋体"/>
                <w:color w:val="auto"/>
                <w:sz w:val="24"/>
                <w:szCs w:val="20"/>
                <w:lang w:val="zh-CN"/>
              </w:rPr>
              <w:t>3、</w:t>
            </w:r>
            <w:r>
              <w:rPr>
                <w:rFonts w:hint="eastAsia" w:ascii="宋体" w:hAnsi="宋体" w:cs="宋体"/>
                <w:color w:val="auto"/>
                <w:sz w:val="24"/>
                <w:szCs w:val="20"/>
                <w:lang w:val="en-US" w:eastAsia="zh-CN"/>
              </w:rPr>
              <w:t>保安</w:t>
            </w:r>
            <w:r>
              <w:rPr>
                <w:rFonts w:hint="eastAsia" w:ascii="宋体" w:hAnsi="宋体" w:cs="宋体"/>
                <w:color w:val="auto"/>
                <w:sz w:val="24"/>
                <w:szCs w:val="20"/>
                <w:lang w:val="zh-CN"/>
              </w:rPr>
              <w:t>人员（</w:t>
            </w:r>
            <w:r>
              <w:rPr>
                <w:rFonts w:hint="eastAsia" w:ascii="宋体" w:hAnsi="宋体" w:cs="宋体"/>
                <w:color w:val="auto"/>
                <w:sz w:val="24"/>
                <w:szCs w:val="20"/>
                <w:lang w:val="en-US" w:eastAsia="zh-CN"/>
              </w:rPr>
              <w:t>2</w:t>
            </w:r>
            <w:r>
              <w:rPr>
                <w:rFonts w:hint="eastAsia" w:ascii="宋体" w:hAnsi="宋体" w:cs="宋体"/>
                <w:color w:val="auto"/>
                <w:sz w:val="24"/>
                <w:szCs w:val="20"/>
                <w:lang w:val="zh-CN"/>
              </w:rPr>
              <w:t>分）</w:t>
            </w:r>
          </w:p>
          <w:p w14:paraId="6506EFB8">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0"/>
                <w:lang w:val="en-US" w:eastAsia="zh-CN"/>
              </w:rPr>
            </w:pPr>
            <w:r>
              <w:rPr>
                <w:rFonts w:hint="eastAsia" w:ascii="宋体" w:hAnsi="宋体" w:cs="宋体"/>
                <w:color w:val="auto"/>
                <w:sz w:val="24"/>
                <w:szCs w:val="20"/>
                <w:lang w:val="zh-CN" w:eastAsia="zh-CN"/>
              </w:rPr>
              <w:t>①</w:t>
            </w:r>
            <w:r>
              <w:rPr>
                <w:rFonts w:hint="eastAsia" w:ascii="宋体" w:hAnsi="宋体" w:cs="宋体"/>
                <w:color w:val="auto"/>
                <w:sz w:val="24"/>
                <w:szCs w:val="20"/>
                <w:lang w:val="en-US" w:eastAsia="zh-CN"/>
              </w:rPr>
              <w:t>拟派保安人员中（不含项目经理和保安主管）</w:t>
            </w:r>
            <w:r>
              <w:rPr>
                <w:rFonts w:hint="eastAsia" w:ascii="宋体" w:hAnsi="宋体" w:cs="宋体"/>
                <w:color w:val="auto"/>
                <w:sz w:val="24"/>
                <w:szCs w:val="20"/>
                <w:lang w:val="zh-CN"/>
              </w:rPr>
              <w:t>具有高级</w:t>
            </w:r>
            <w:r>
              <w:rPr>
                <w:rFonts w:hint="eastAsia" w:ascii="宋体" w:hAnsi="宋体" w:cs="宋体"/>
                <w:color w:val="auto"/>
                <w:sz w:val="24"/>
                <w:szCs w:val="20"/>
                <w:lang w:val="en-US" w:eastAsia="zh-CN"/>
              </w:rPr>
              <w:t>及以上</w:t>
            </w:r>
            <w:r>
              <w:rPr>
                <w:rFonts w:hint="eastAsia" w:ascii="宋体" w:hAnsi="宋体" w:cs="宋体"/>
                <w:color w:val="auto"/>
                <w:sz w:val="24"/>
                <w:szCs w:val="20"/>
                <w:lang w:val="zh-CN"/>
              </w:rPr>
              <w:t>保安员证书的得1分，本项最高得</w:t>
            </w:r>
            <w:r>
              <w:rPr>
                <w:rFonts w:hint="eastAsia" w:ascii="宋体" w:hAnsi="宋体" w:cs="宋体"/>
                <w:color w:val="auto"/>
                <w:sz w:val="24"/>
                <w:szCs w:val="20"/>
                <w:lang w:val="en-US" w:eastAsia="zh-CN"/>
              </w:rPr>
              <w:t>1</w:t>
            </w:r>
            <w:r>
              <w:rPr>
                <w:rFonts w:hint="eastAsia" w:ascii="宋体" w:hAnsi="宋体" w:cs="宋体"/>
                <w:color w:val="auto"/>
                <w:sz w:val="24"/>
                <w:szCs w:val="20"/>
                <w:lang w:val="zh-CN"/>
              </w:rPr>
              <w:t>分</w:t>
            </w:r>
            <w:r>
              <w:rPr>
                <w:rFonts w:hint="eastAsia" w:ascii="宋体" w:hAnsi="宋体" w:cs="宋体"/>
                <w:color w:val="auto"/>
                <w:sz w:val="24"/>
                <w:szCs w:val="20"/>
                <w:lang w:val="zh-CN" w:eastAsia="zh-CN"/>
              </w:rPr>
              <w:t>。</w:t>
            </w:r>
          </w:p>
          <w:p w14:paraId="45F766D6">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0"/>
                <w:lang w:val="zh-CN"/>
              </w:rPr>
            </w:pPr>
            <w:r>
              <w:rPr>
                <w:rFonts w:hint="eastAsia" w:ascii="宋体" w:hAnsi="宋体" w:cs="宋体"/>
                <w:color w:val="auto"/>
                <w:sz w:val="24"/>
                <w:szCs w:val="20"/>
                <w:lang w:val="zh-CN" w:eastAsia="zh-CN"/>
              </w:rPr>
              <w:t>②</w:t>
            </w:r>
            <w:r>
              <w:rPr>
                <w:rFonts w:hint="eastAsia" w:ascii="宋体" w:hAnsi="宋体" w:cs="宋体"/>
                <w:color w:val="auto"/>
                <w:sz w:val="24"/>
                <w:szCs w:val="20"/>
                <w:lang w:val="en-US" w:eastAsia="zh-CN"/>
              </w:rPr>
              <w:t>拟派保安人员中（不含项目经理和保安主管）</w:t>
            </w:r>
            <w:r>
              <w:rPr>
                <w:rFonts w:hint="eastAsia" w:ascii="宋体" w:hAnsi="宋体" w:cs="宋体"/>
                <w:color w:val="auto"/>
                <w:sz w:val="24"/>
                <w:szCs w:val="20"/>
                <w:lang w:val="zh-CN"/>
              </w:rPr>
              <w:t>具有</w:t>
            </w:r>
            <w:r>
              <w:rPr>
                <w:rFonts w:hint="eastAsia" w:ascii="宋体" w:hAnsi="宋体" w:cs="宋体"/>
                <w:color w:val="auto"/>
                <w:sz w:val="24"/>
                <w:szCs w:val="20"/>
                <w:lang w:val="en-US" w:eastAsia="zh-CN"/>
              </w:rPr>
              <w:t>应急救援员</w:t>
            </w:r>
            <w:r>
              <w:rPr>
                <w:rFonts w:hint="eastAsia" w:ascii="宋体" w:hAnsi="宋体" w:cs="宋体"/>
                <w:color w:val="auto"/>
                <w:sz w:val="24"/>
                <w:szCs w:val="20"/>
                <w:lang w:val="zh-CN"/>
              </w:rPr>
              <w:t>证书的得1分，本项最高得</w:t>
            </w:r>
            <w:r>
              <w:rPr>
                <w:rFonts w:hint="eastAsia" w:ascii="宋体" w:hAnsi="宋体" w:cs="宋体"/>
                <w:color w:val="auto"/>
                <w:sz w:val="24"/>
                <w:szCs w:val="20"/>
                <w:lang w:val="en-US" w:eastAsia="zh-CN"/>
              </w:rPr>
              <w:t>1</w:t>
            </w:r>
            <w:r>
              <w:rPr>
                <w:rFonts w:hint="eastAsia" w:ascii="宋体" w:hAnsi="宋体" w:cs="宋体"/>
                <w:color w:val="auto"/>
                <w:sz w:val="24"/>
                <w:szCs w:val="20"/>
                <w:lang w:val="zh-CN"/>
              </w:rPr>
              <w:t>分。</w:t>
            </w:r>
          </w:p>
          <w:p w14:paraId="61414B96">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0"/>
                <w:lang w:val="zh-CN"/>
              </w:rPr>
            </w:pPr>
            <w:r>
              <w:rPr>
                <w:rFonts w:hint="eastAsia" w:ascii="宋体" w:hAnsi="宋体" w:cs="宋体"/>
                <w:color w:val="auto"/>
                <w:sz w:val="24"/>
                <w:szCs w:val="20"/>
                <w:lang w:val="zh-CN"/>
              </w:rPr>
              <w:t>4、</w:t>
            </w:r>
            <w:r>
              <w:rPr>
                <w:rFonts w:hint="eastAsia" w:ascii="宋体" w:hAnsi="宋体" w:cs="宋体"/>
                <w:color w:val="auto"/>
                <w:sz w:val="24"/>
                <w:szCs w:val="20"/>
                <w:lang w:val="en-US" w:eastAsia="zh-CN"/>
              </w:rPr>
              <w:t>保洁人员</w:t>
            </w:r>
            <w:r>
              <w:rPr>
                <w:rFonts w:hint="eastAsia" w:ascii="宋体" w:hAnsi="宋体" w:cs="宋体"/>
                <w:color w:val="auto"/>
                <w:sz w:val="24"/>
                <w:szCs w:val="20"/>
                <w:lang w:val="zh-CN"/>
              </w:rPr>
              <w:t>（</w:t>
            </w:r>
            <w:r>
              <w:rPr>
                <w:rFonts w:hint="eastAsia" w:ascii="宋体" w:hAnsi="宋体" w:cs="宋体"/>
                <w:color w:val="auto"/>
                <w:sz w:val="24"/>
                <w:szCs w:val="20"/>
                <w:lang w:val="en-US" w:eastAsia="zh-CN"/>
              </w:rPr>
              <w:t>3</w:t>
            </w:r>
            <w:r>
              <w:rPr>
                <w:rFonts w:hint="eastAsia" w:ascii="宋体" w:hAnsi="宋体" w:cs="宋体"/>
                <w:color w:val="auto"/>
                <w:sz w:val="24"/>
                <w:szCs w:val="20"/>
                <w:lang w:val="zh-CN"/>
              </w:rPr>
              <w:t>分）</w:t>
            </w:r>
          </w:p>
          <w:p w14:paraId="551053B6">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0"/>
                <w:lang w:val="zh-CN"/>
              </w:rPr>
            </w:pPr>
            <w:r>
              <w:rPr>
                <w:rFonts w:hint="eastAsia" w:ascii="宋体" w:hAnsi="宋体" w:cs="宋体"/>
                <w:color w:val="auto"/>
                <w:sz w:val="24"/>
                <w:szCs w:val="20"/>
                <w:lang w:val="zh-CN"/>
              </w:rPr>
              <w:t>拟派驻的</w:t>
            </w:r>
            <w:r>
              <w:rPr>
                <w:rFonts w:hint="eastAsia" w:ascii="宋体" w:hAnsi="宋体" w:cs="宋体"/>
                <w:color w:val="auto"/>
                <w:sz w:val="24"/>
                <w:szCs w:val="20"/>
                <w:lang w:val="en-US" w:eastAsia="zh-CN"/>
              </w:rPr>
              <w:t>保洁人</w:t>
            </w:r>
            <w:r>
              <w:rPr>
                <w:rFonts w:hint="eastAsia" w:ascii="宋体" w:hAnsi="宋体" w:cs="宋体"/>
                <w:color w:val="auto"/>
                <w:sz w:val="24"/>
                <w:szCs w:val="20"/>
                <w:lang w:val="zh-CN"/>
              </w:rPr>
              <w:t>员中持有</w:t>
            </w:r>
            <w:r>
              <w:rPr>
                <w:rFonts w:hint="eastAsia" w:ascii="宋体" w:hAnsi="宋体" w:cs="宋体"/>
                <w:color w:val="auto"/>
                <w:sz w:val="24"/>
                <w:szCs w:val="20"/>
                <w:lang w:val="en-US" w:eastAsia="zh-CN"/>
              </w:rPr>
              <w:t>三级（高级)及以上保洁员职业技能等级</w:t>
            </w:r>
            <w:r>
              <w:rPr>
                <w:rFonts w:hint="eastAsia" w:ascii="宋体" w:hAnsi="宋体" w:cs="宋体"/>
                <w:color w:val="auto"/>
                <w:sz w:val="24"/>
                <w:szCs w:val="20"/>
                <w:lang w:val="zh-CN"/>
              </w:rPr>
              <w:t>证书的，每有1人得1分，本项最高得</w:t>
            </w:r>
            <w:r>
              <w:rPr>
                <w:rFonts w:hint="eastAsia" w:ascii="宋体" w:hAnsi="宋体" w:cs="宋体"/>
                <w:color w:val="auto"/>
                <w:sz w:val="24"/>
                <w:szCs w:val="20"/>
                <w:lang w:val="en-US" w:eastAsia="zh-CN"/>
              </w:rPr>
              <w:t>3</w:t>
            </w:r>
            <w:r>
              <w:rPr>
                <w:rFonts w:hint="eastAsia" w:ascii="宋体" w:hAnsi="宋体" w:cs="宋体"/>
                <w:color w:val="auto"/>
                <w:sz w:val="24"/>
                <w:szCs w:val="20"/>
                <w:lang w:val="zh-CN"/>
              </w:rPr>
              <w:t>分。</w:t>
            </w:r>
          </w:p>
          <w:p w14:paraId="4A46E949">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0"/>
                <w:lang w:val="zh-CN"/>
              </w:rPr>
            </w:pPr>
            <w:r>
              <w:rPr>
                <w:rFonts w:hint="eastAsia" w:ascii="宋体" w:hAnsi="宋体" w:cs="宋体"/>
                <w:color w:val="auto"/>
                <w:sz w:val="24"/>
                <w:szCs w:val="20"/>
                <w:lang w:val="zh-CN"/>
              </w:rPr>
              <w:t>5、</w:t>
            </w:r>
            <w:r>
              <w:rPr>
                <w:rFonts w:hint="eastAsia" w:ascii="宋体" w:hAnsi="宋体" w:cs="宋体"/>
                <w:color w:val="auto"/>
                <w:sz w:val="24"/>
                <w:szCs w:val="20"/>
                <w:lang w:val="zh-CN" w:eastAsia="zh-CN"/>
              </w:rPr>
              <w:t>维修人员</w:t>
            </w:r>
            <w:r>
              <w:rPr>
                <w:rFonts w:hint="eastAsia" w:ascii="宋体" w:hAnsi="宋体" w:cs="宋体"/>
                <w:color w:val="auto"/>
                <w:sz w:val="24"/>
                <w:szCs w:val="20"/>
                <w:lang w:val="zh-CN"/>
              </w:rPr>
              <w:t>（2分）</w:t>
            </w:r>
          </w:p>
          <w:p w14:paraId="4E341F33">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0"/>
                <w:lang w:val="zh-CN"/>
              </w:rPr>
            </w:pPr>
            <w:r>
              <w:rPr>
                <w:rFonts w:hint="eastAsia" w:ascii="宋体" w:hAnsi="宋体" w:cs="宋体"/>
                <w:color w:val="auto"/>
                <w:sz w:val="24"/>
                <w:szCs w:val="20"/>
                <w:lang w:val="zh-CN"/>
              </w:rPr>
              <w:t>拟派驻的维修人员至少需要有低压电工作业证</w:t>
            </w:r>
            <w:r>
              <w:rPr>
                <w:rFonts w:hint="eastAsia" w:ascii="宋体" w:hAnsi="宋体" w:cs="宋体"/>
                <w:color w:val="auto"/>
                <w:sz w:val="24"/>
                <w:szCs w:val="20"/>
                <w:lang w:val="zh-CN" w:eastAsia="zh-CN"/>
              </w:rPr>
              <w:t>，</w:t>
            </w:r>
            <w:r>
              <w:rPr>
                <w:rFonts w:hint="eastAsia" w:ascii="宋体" w:hAnsi="宋体" w:cs="宋体"/>
                <w:color w:val="auto"/>
                <w:sz w:val="24"/>
                <w:szCs w:val="20"/>
                <w:lang w:val="zh-CN"/>
              </w:rPr>
              <w:t>同时持有高压电工作业证</w:t>
            </w:r>
            <w:r>
              <w:rPr>
                <w:rFonts w:hint="eastAsia" w:ascii="宋体" w:hAnsi="宋体" w:cs="宋体"/>
                <w:color w:val="auto"/>
                <w:sz w:val="24"/>
                <w:szCs w:val="20"/>
                <w:lang w:val="zh-CN" w:eastAsia="zh-CN"/>
              </w:rPr>
              <w:t>、</w:t>
            </w:r>
            <w:r>
              <w:rPr>
                <w:rFonts w:hint="eastAsia" w:ascii="宋体" w:hAnsi="宋体" w:cs="宋体"/>
                <w:color w:val="auto"/>
                <w:sz w:val="24"/>
                <w:szCs w:val="20"/>
                <w:lang w:val="zh-CN"/>
              </w:rPr>
              <w:t>中级及以上消防设施操作员证书的，每有一个得1分，本项最高得2分。</w:t>
            </w:r>
          </w:p>
          <w:p w14:paraId="77F143CC">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0"/>
                <w:lang w:val="zh-CN"/>
              </w:rPr>
            </w:pPr>
            <w:r>
              <w:rPr>
                <w:rFonts w:hint="eastAsia" w:ascii="宋体" w:hAnsi="宋体" w:cs="宋体"/>
                <w:color w:val="auto"/>
                <w:sz w:val="24"/>
                <w:szCs w:val="20"/>
                <w:lang w:val="zh-CN"/>
              </w:rPr>
              <w:t>注:</w:t>
            </w:r>
          </w:p>
          <w:p w14:paraId="70CDDD5B">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0"/>
                <w:lang w:val="zh-CN"/>
              </w:rPr>
            </w:pPr>
            <w:r>
              <w:rPr>
                <w:rFonts w:hint="eastAsia" w:ascii="宋体" w:hAnsi="宋体" w:cs="宋体"/>
                <w:color w:val="auto"/>
                <w:sz w:val="24"/>
                <w:szCs w:val="20"/>
                <w:lang w:val="zh-CN"/>
              </w:rPr>
              <w:t>（1）投标时需提供上述证书原件扫描件，项目经理的学历证明材料须同时提供学信网查询截图，未提供或经评审不合格的均不得分。</w:t>
            </w:r>
          </w:p>
          <w:p w14:paraId="732EEE59">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0"/>
                <w:lang w:val="en-US" w:eastAsia="zh-CN"/>
              </w:rPr>
            </w:pPr>
            <w:r>
              <w:rPr>
                <w:rFonts w:hint="eastAsia" w:ascii="宋体" w:hAnsi="宋体" w:cs="宋体"/>
                <w:color w:val="auto"/>
                <w:sz w:val="24"/>
                <w:szCs w:val="20"/>
                <w:lang w:val="en-GB"/>
              </w:rPr>
              <w:t>（</w:t>
            </w:r>
            <w:r>
              <w:rPr>
                <w:rFonts w:hint="eastAsia" w:ascii="宋体" w:hAnsi="宋体" w:cs="宋体"/>
                <w:color w:val="auto"/>
                <w:sz w:val="24"/>
                <w:szCs w:val="20"/>
                <w:lang w:val="zh-CN"/>
              </w:rPr>
              <w:t>2</w:t>
            </w:r>
            <w:r>
              <w:rPr>
                <w:rFonts w:hint="eastAsia" w:ascii="宋体" w:hAnsi="宋体" w:cs="宋体"/>
                <w:color w:val="auto"/>
                <w:sz w:val="24"/>
                <w:szCs w:val="20"/>
                <w:lang w:val="en-GB"/>
              </w:rPr>
              <w:t>）须保证拟派人员均为本单位的正式职工，</w:t>
            </w:r>
            <w:r>
              <w:rPr>
                <w:rFonts w:hint="eastAsia" w:ascii="宋体" w:hAnsi="宋体" w:cs="宋体"/>
                <w:color w:val="auto"/>
                <w:sz w:val="24"/>
                <w:szCs w:val="20"/>
                <w:lang w:val="zh-CN"/>
              </w:rPr>
              <w:t>并提供</w:t>
            </w:r>
            <w:r>
              <w:rPr>
                <w:rFonts w:hint="eastAsia" w:ascii="宋体" w:hAnsi="宋体" w:cs="宋体"/>
                <w:color w:val="auto"/>
                <w:sz w:val="24"/>
                <w:szCs w:val="20"/>
                <w:lang w:val="en-US" w:eastAsia="zh-CN"/>
              </w:rPr>
              <w:t>该人员为本单位正式职工的证明材料</w:t>
            </w:r>
            <w:r>
              <w:rPr>
                <w:rFonts w:hint="eastAsia" w:ascii="宋体" w:hAnsi="宋体" w:cs="宋体"/>
                <w:color w:val="auto"/>
                <w:sz w:val="24"/>
                <w:szCs w:val="20"/>
                <w:lang w:val="en-GB"/>
              </w:rPr>
              <w:t>。未提供或提供不全</w:t>
            </w:r>
            <w:bookmarkStart w:id="170" w:name="_GoBack"/>
            <w:bookmarkEnd w:id="170"/>
            <w:r>
              <w:rPr>
                <w:rFonts w:hint="eastAsia" w:ascii="宋体" w:hAnsi="宋体" w:cs="宋体"/>
                <w:color w:val="auto"/>
                <w:sz w:val="24"/>
                <w:szCs w:val="20"/>
                <w:lang w:val="en-GB"/>
              </w:rPr>
              <w:t>不得分。</w:t>
            </w:r>
          </w:p>
        </w:tc>
        <w:tc>
          <w:tcPr>
            <w:tcW w:w="780" w:type="dxa"/>
            <w:tcBorders>
              <w:top w:val="single" w:color="auto" w:sz="4" w:space="0"/>
              <w:bottom w:val="single" w:color="auto" w:sz="4" w:space="0"/>
            </w:tcBorders>
            <w:shd w:val="clear" w:color="auto" w:fill="auto"/>
            <w:noWrap w:val="0"/>
            <w:vAlign w:val="center"/>
          </w:tcPr>
          <w:p w14:paraId="62EC608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rPr>
              <w:t>13</w:t>
            </w:r>
          </w:p>
        </w:tc>
      </w:tr>
      <w:tr w14:paraId="0112A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1446" w:type="dxa"/>
            <w:tcBorders>
              <w:right w:val="single" w:color="auto" w:sz="4" w:space="0"/>
            </w:tcBorders>
            <w:shd w:val="clear" w:color="auto" w:fill="auto"/>
            <w:noWrap w:val="0"/>
            <w:vAlign w:val="center"/>
          </w:tcPr>
          <w:p w14:paraId="631E002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企业实力</w:t>
            </w:r>
          </w:p>
        </w:tc>
        <w:tc>
          <w:tcPr>
            <w:tcW w:w="7179" w:type="dxa"/>
            <w:tcBorders>
              <w:top w:val="single" w:color="auto" w:sz="4" w:space="0"/>
              <w:left w:val="single" w:color="auto" w:sz="4" w:space="0"/>
              <w:bottom w:val="single" w:color="auto" w:sz="4" w:space="0"/>
            </w:tcBorders>
            <w:shd w:val="clear" w:color="auto" w:fill="auto"/>
            <w:noWrap w:val="0"/>
            <w:vAlign w:val="center"/>
          </w:tcPr>
          <w:p w14:paraId="216C4E86">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t>1</w:t>
            </w:r>
            <w:r>
              <w:rPr>
                <w:rFonts w:hint="eastAsia" w:ascii="宋体" w:hAnsi="宋体" w:cs="宋体"/>
                <w:color w:val="auto"/>
                <w:sz w:val="24"/>
                <w:szCs w:val="20"/>
                <w:lang w:val="zh-CN"/>
              </w:rPr>
              <w:t>、自202</w:t>
            </w:r>
            <w:r>
              <w:rPr>
                <w:rFonts w:hint="eastAsia" w:ascii="宋体" w:hAnsi="宋体" w:cs="宋体"/>
                <w:color w:val="auto"/>
                <w:sz w:val="24"/>
                <w:szCs w:val="20"/>
                <w:lang w:val="en-US" w:eastAsia="zh-CN"/>
              </w:rPr>
              <w:t>3</w:t>
            </w:r>
            <w:r>
              <w:rPr>
                <w:rFonts w:hint="eastAsia" w:ascii="宋体" w:hAnsi="宋体" w:cs="宋体"/>
                <w:color w:val="auto"/>
                <w:sz w:val="24"/>
                <w:szCs w:val="20"/>
                <w:lang w:val="zh-CN"/>
              </w:rPr>
              <w:t>年1月1日以来，</w:t>
            </w:r>
            <w:r>
              <w:rPr>
                <w:rFonts w:hint="eastAsia" w:ascii="宋体" w:hAnsi="宋体" w:cs="宋体"/>
                <w:color w:val="auto"/>
                <w:sz w:val="24"/>
                <w:szCs w:val="20"/>
                <w:lang w:val="en-US" w:eastAsia="zh-CN"/>
              </w:rPr>
              <w:t>投标人承接的服务项目每获得一项物业行政主管部门颁发的示范物业管理项目荣誉或奖项的得1分。本项最高得6分。（以上获奖荣誉如为同一事项或同一项目不重复得分，以证书或文件的签发时间为准。投标时提供证明文件彩色扫描件，不提供不得分）</w:t>
            </w:r>
          </w:p>
          <w:p w14:paraId="0D3A646B">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0"/>
                <w:lang w:val="en-GB"/>
              </w:rPr>
            </w:pPr>
            <w:r>
              <w:rPr>
                <w:rFonts w:hint="eastAsia" w:ascii="宋体" w:hAnsi="宋体" w:cs="宋体"/>
                <w:color w:val="auto"/>
                <w:sz w:val="24"/>
                <w:szCs w:val="20"/>
                <w:lang w:val="en-US" w:eastAsia="zh-CN"/>
              </w:rPr>
              <w:t>2</w:t>
            </w:r>
            <w:r>
              <w:rPr>
                <w:rFonts w:hint="eastAsia" w:ascii="宋体" w:hAnsi="宋体" w:cs="宋体"/>
                <w:color w:val="auto"/>
                <w:sz w:val="24"/>
                <w:szCs w:val="20"/>
                <w:lang w:val="zh-CN"/>
              </w:rPr>
              <w:t>、投标人</w:t>
            </w:r>
            <w:r>
              <w:rPr>
                <w:rFonts w:hint="eastAsia" w:ascii="宋体" w:hAnsi="宋体" w:cs="宋体"/>
                <w:color w:val="auto"/>
                <w:sz w:val="24"/>
                <w:szCs w:val="20"/>
                <w:lang w:val="zh-CN" w:eastAsia="zh-CN"/>
              </w:rPr>
              <w:t>具有</w:t>
            </w:r>
            <w:r>
              <w:rPr>
                <w:rFonts w:hint="eastAsia" w:ascii="宋体" w:hAnsi="宋体" w:cs="宋体"/>
                <w:color w:val="auto"/>
                <w:sz w:val="24"/>
                <w:szCs w:val="20"/>
                <w:lang w:val="zh-CN"/>
              </w:rPr>
              <w:t>获得</w:t>
            </w:r>
            <w:r>
              <w:rPr>
                <w:rFonts w:hint="eastAsia" w:ascii="宋体" w:hAnsi="宋体" w:cs="宋体"/>
                <w:color w:val="auto"/>
                <w:sz w:val="24"/>
                <w:szCs w:val="20"/>
                <w:lang w:val="en-US" w:eastAsia="zh-CN"/>
              </w:rPr>
              <w:t>政府</w:t>
            </w:r>
            <w:r>
              <w:rPr>
                <w:rFonts w:hint="eastAsia" w:ascii="宋体" w:hAnsi="宋体" w:cs="宋体"/>
                <w:color w:val="auto"/>
                <w:sz w:val="24"/>
                <w:szCs w:val="20"/>
                <w:lang w:val="zh-CN"/>
              </w:rPr>
              <w:t>部门表彰奖项的，国家级得</w:t>
            </w:r>
            <w:r>
              <w:rPr>
                <w:rFonts w:hint="eastAsia" w:ascii="宋体" w:hAnsi="宋体" w:cs="宋体"/>
                <w:color w:val="auto"/>
                <w:sz w:val="24"/>
                <w:szCs w:val="20"/>
                <w:lang w:val="en-US" w:eastAsia="zh-CN"/>
              </w:rPr>
              <w:t>5</w:t>
            </w:r>
            <w:r>
              <w:rPr>
                <w:rFonts w:hint="eastAsia" w:ascii="宋体" w:hAnsi="宋体" w:cs="宋体"/>
                <w:color w:val="auto"/>
                <w:sz w:val="24"/>
                <w:szCs w:val="20"/>
                <w:lang w:val="zh-CN"/>
              </w:rPr>
              <w:t>分，省级得</w:t>
            </w:r>
            <w:r>
              <w:rPr>
                <w:rFonts w:hint="eastAsia" w:ascii="宋体" w:hAnsi="宋体" w:cs="宋体"/>
                <w:color w:val="auto"/>
                <w:sz w:val="24"/>
                <w:szCs w:val="20"/>
                <w:lang w:val="en-US" w:eastAsia="zh-CN"/>
              </w:rPr>
              <w:t>3</w:t>
            </w:r>
            <w:r>
              <w:rPr>
                <w:rFonts w:hint="eastAsia" w:ascii="宋体" w:hAnsi="宋体" w:cs="宋体"/>
                <w:color w:val="auto"/>
                <w:sz w:val="24"/>
                <w:szCs w:val="20"/>
                <w:lang w:val="zh-CN"/>
              </w:rPr>
              <w:t>分，地市级</w:t>
            </w:r>
            <w:r>
              <w:rPr>
                <w:rFonts w:hint="eastAsia" w:ascii="宋体" w:hAnsi="宋体" w:cs="宋体"/>
                <w:color w:val="auto"/>
                <w:sz w:val="24"/>
                <w:szCs w:val="20"/>
                <w:lang w:val="zh-CN" w:eastAsia="zh-CN"/>
              </w:rPr>
              <w:t>及以下</w:t>
            </w:r>
            <w:r>
              <w:rPr>
                <w:rFonts w:hint="eastAsia" w:ascii="宋体" w:hAnsi="宋体" w:cs="宋体"/>
                <w:color w:val="auto"/>
                <w:sz w:val="24"/>
                <w:szCs w:val="20"/>
                <w:lang w:val="zh-CN"/>
              </w:rPr>
              <w:t>得1分。本项最高得分</w:t>
            </w:r>
            <w:r>
              <w:rPr>
                <w:rFonts w:hint="eastAsia" w:ascii="宋体" w:hAnsi="宋体" w:cs="宋体"/>
                <w:color w:val="auto"/>
                <w:sz w:val="24"/>
                <w:szCs w:val="20"/>
                <w:lang w:val="en-US" w:eastAsia="zh-CN"/>
              </w:rPr>
              <w:t>5</w:t>
            </w:r>
            <w:r>
              <w:rPr>
                <w:rFonts w:hint="eastAsia" w:ascii="宋体" w:hAnsi="宋体" w:cs="宋体"/>
                <w:color w:val="auto"/>
                <w:sz w:val="24"/>
                <w:szCs w:val="20"/>
                <w:lang w:val="zh-CN"/>
              </w:rPr>
              <w:t>分。本项以最高奖项计分，不累计得分。(提供证书或文件扫描件，否则不予计分。)</w:t>
            </w:r>
          </w:p>
        </w:tc>
        <w:tc>
          <w:tcPr>
            <w:tcW w:w="780" w:type="dxa"/>
            <w:tcBorders>
              <w:top w:val="single" w:color="auto" w:sz="4" w:space="0"/>
              <w:bottom w:val="single" w:color="auto" w:sz="4" w:space="0"/>
            </w:tcBorders>
            <w:shd w:val="clear" w:color="auto" w:fill="auto"/>
            <w:noWrap w:val="0"/>
            <w:vAlign w:val="center"/>
          </w:tcPr>
          <w:p w14:paraId="27507A4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11</w:t>
            </w:r>
          </w:p>
        </w:tc>
      </w:tr>
    </w:tbl>
    <w:p w14:paraId="46F9350D">
      <w:pPr>
        <w:pStyle w:val="32"/>
        <w:spacing w:beforeAutospacing="0" w:afterAutospacing="0"/>
        <w:jc w:val="both"/>
        <w:rPr>
          <w:rFonts w:hint="eastAsia"/>
          <w:lang w:val="en-US" w:eastAsia="zh-CN"/>
        </w:rPr>
      </w:pPr>
    </w:p>
    <w:p w14:paraId="0CB7643E">
      <w:pPr>
        <w:pStyle w:val="32"/>
        <w:keepNext/>
        <w:spacing w:beforeAutospacing="0" w:afterAutospacing="0"/>
        <w:jc w:val="center"/>
        <w:rPr>
          <w:rFonts w:hint="eastAsia" w:ascii="黑体" w:hAnsi="宋体" w:eastAsia="黑体" w:cs="黑体"/>
          <w:color w:val="auto"/>
          <w:sz w:val="44"/>
          <w:szCs w:val="44"/>
          <w:highlight w:val="none"/>
          <w:shd w:val="clear" w:color="auto" w:fill="auto"/>
        </w:rPr>
      </w:pPr>
    </w:p>
    <w:p w14:paraId="4DC10D53">
      <w:pPr>
        <w:pStyle w:val="32"/>
        <w:keepNext/>
        <w:spacing w:beforeAutospacing="0" w:afterAutospacing="0"/>
        <w:jc w:val="center"/>
        <w:rPr>
          <w:rFonts w:hint="eastAsia" w:ascii="黑体" w:hAnsi="宋体" w:eastAsia="黑体" w:cs="黑体"/>
          <w:color w:val="auto"/>
          <w:sz w:val="44"/>
          <w:szCs w:val="44"/>
          <w:highlight w:val="none"/>
          <w:shd w:val="clear" w:color="auto" w:fill="auto"/>
        </w:rPr>
      </w:pPr>
    </w:p>
    <w:p w14:paraId="06FDDBED">
      <w:pPr>
        <w:pStyle w:val="32"/>
        <w:keepNext/>
        <w:spacing w:beforeAutospacing="0" w:afterAutospacing="0"/>
        <w:jc w:val="center"/>
        <w:rPr>
          <w:rFonts w:hint="eastAsia" w:ascii="黑体" w:hAnsi="宋体" w:eastAsia="黑体" w:cs="黑体"/>
          <w:color w:val="auto"/>
          <w:sz w:val="44"/>
          <w:szCs w:val="44"/>
          <w:highlight w:val="none"/>
          <w:shd w:val="clear" w:color="auto" w:fill="auto"/>
        </w:rPr>
      </w:pPr>
    </w:p>
    <w:p w14:paraId="26E92A46">
      <w:pPr>
        <w:pStyle w:val="32"/>
        <w:keepNext/>
        <w:spacing w:beforeAutospacing="0" w:afterAutospacing="0"/>
        <w:jc w:val="center"/>
        <w:rPr>
          <w:rFonts w:hint="eastAsia" w:ascii="黑体" w:hAnsi="宋体" w:eastAsia="黑体" w:cs="黑体"/>
          <w:color w:val="auto"/>
          <w:sz w:val="44"/>
          <w:szCs w:val="44"/>
          <w:highlight w:val="none"/>
          <w:shd w:val="clear" w:color="auto" w:fill="auto"/>
        </w:rPr>
      </w:pPr>
    </w:p>
    <w:p w14:paraId="1063160D">
      <w:pPr>
        <w:pStyle w:val="32"/>
        <w:keepNext/>
        <w:spacing w:beforeAutospacing="0" w:afterAutospacing="0"/>
        <w:jc w:val="center"/>
        <w:rPr>
          <w:rFonts w:hint="eastAsia" w:ascii="黑体" w:hAnsi="宋体" w:eastAsia="黑体" w:cs="黑体"/>
          <w:color w:val="auto"/>
          <w:sz w:val="44"/>
          <w:szCs w:val="44"/>
          <w:highlight w:val="none"/>
          <w:shd w:val="clear" w:color="auto" w:fill="auto"/>
        </w:rPr>
      </w:pPr>
    </w:p>
    <w:p w14:paraId="63C9F206">
      <w:pPr>
        <w:pStyle w:val="32"/>
        <w:keepNext/>
        <w:spacing w:beforeAutospacing="0" w:afterAutospacing="0"/>
        <w:jc w:val="center"/>
        <w:rPr>
          <w:rFonts w:hint="eastAsia" w:ascii="黑体" w:hAnsi="宋体" w:eastAsia="黑体" w:cs="黑体"/>
          <w:color w:val="auto"/>
          <w:sz w:val="44"/>
          <w:szCs w:val="44"/>
          <w:highlight w:val="none"/>
          <w:shd w:val="clear" w:color="auto" w:fill="auto"/>
        </w:rPr>
      </w:pPr>
    </w:p>
    <w:p w14:paraId="42E276EF">
      <w:pPr>
        <w:pStyle w:val="32"/>
        <w:keepNext/>
        <w:spacing w:beforeAutospacing="0" w:afterAutospacing="0"/>
        <w:jc w:val="center"/>
        <w:rPr>
          <w:rFonts w:hint="eastAsia" w:ascii="黑体" w:hAnsi="宋体" w:eastAsia="黑体" w:cs="黑体"/>
          <w:color w:val="auto"/>
          <w:sz w:val="44"/>
          <w:szCs w:val="44"/>
          <w:highlight w:val="none"/>
          <w:shd w:val="clear" w:color="auto" w:fill="auto"/>
        </w:rPr>
      </w:pPr>
    </w:p>
    <w:p w14:paraId="5A284668">
      <w:pPr>
        <w:pStyle w:val="32"/>
        <w:keepNext/>
        <w:spacing w:beforeAutospacing="0" w:afterAutospacing="0"/>
        <w:jc w:val="center"/>
        <w:rPr>
          <w:rFonts w:hint="eastAsia" w:ascii="黑体" w:hAnsi="宋体" w:eastAsia="黑体" w:cs="黑体"/>
          <w:color w:val="auto"/>
          <w:sz w:val="44"/>
          <w:szCs w:val="44"/>
          <w:highlight w:val="none"/>
          <w:shd w:val="clear" w:color="auto" w:fill="auto"/>
        </w:rPr>
      </w:pPr>
    </w:p>
    <w:p w14:paraId="4184E663">
      <w:pPr>
        <w:pStyle w:val="32"/>
        <w:keepNext/>
        <w:spacing w:beforeAutospacing="0" w:afterAutospacing="0"/>
        <w:jc w:val="center"/>
        <w:rPr>
          <w:rFonts w:hint="eastAsia" w:ascii="黑体" w:hAnsi="宋体" w:eastAsia="黑体" w:cs="黑体"/>
          <w:color w:val="auto"/>
          <w:sz w:val="44"/>
          <w:szCs w:val="44"/>
          <w:highlight w:val="none"/>
          <w:shd w:val="clear" w:color="auto" w:fill="auto"/>
        </w:rPr>
      </w:pPr>
    </w:p>
    <w:p w14:paraId="3078BA7D">
      <w:pPr>
        <w:pStyle w:val="32"/>
        <w:keepNext/>
        <w:spacing w:beforeAutospacing="0" w:afterAutospacing="0"/>
        <w:jc w:val="center"/>
        <w:rPr>
          <w:rFonts w:hint="eastAsia" w:ascii="黑体" w:hAnsi="宋体" w:eastAsia="黑体" w:cs="黑体"/>
          <w:color w:val="auto"/>
          <w:sz w:val="44"/>
          <w:szCs w:val="44"/>
          <w:highlight w:val="none"/>
          <w:shd w:val="clear" w:color="auto" w:fill="auto"/>
        </w:rPr>
      </w:pPr>
    </w:p>
    <w:p w14:paraId="6AB1CA4E">
      <w:pPr>
        <w:rPr>
          <w:rFonts w:hint="eastAsia"/>
        </w:rPr>
      </w:pPr>
    </w:p>
    <w:p w14:paraId="101B0B18">
      <w:pPr>
        <w:pStyle w:val="34"/>
        <w:rPr>
          <w:rFonts w:hint="eastAsia"/>
        </w:rPr>
      </w:pPr>
    </w:p>
    <w:p w14:paraId="5AF2D81F">
      <w:pPr>
        <w:pStyle w:val="13"/>
        <w:rPr>
          <w:rFonts w:hint="eastAsia"/>
        </w:rPr>
      </w:pPr>
    </w:p>
    <w:p w14:paraId="56F2FF09">
      <w:pPr>
        <w:pStyle w:val="13"/>
        <w:rPr>
          <w:rFonts w:hint="eastAsia"/>
        </w:rPr>
      </w:pPr>
    </w:p>
    <w:p w14:paraId="0B49B6A1">
      <w:pP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br w:type="page"/>
      </w:r>
    </w:p>
    <w:p w14:paraId="38BDB323">
      <w:pPr>
        <w:pStyle w:val="32"/>
        <w:keepNext/>
        <w:spacing w:beforeAutospacing="0" w:afterAutospacing="0"/>
        <w:jc w:val="cente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t>第六章  响应文件格式</w:t>
      </w:r>
    </w:p>
    <w:p w14:paraId="3BCD2848">
      <w:pPr>
        <w:pStyle w:val="32"/>
        <w:keepNext/>
        <w:spacing w:beforeAutospacing="0" w:afterAutospacing="0"/>
        <w:jc w:val="center"/>
        <w:rPr>
          <w:rFonts w:hint="eastAsia" w:ascii="黑体" w:hAnsi="宋体" w:eastAsia="黑体" w:cs="黑体"/>
          <w:color w:val="auto"/>
          <w:sz w:val="44"/>
          <w:szCs w:val="44"/>
          <w:highlight w:val="none"/>
          <w:shd w:val="clear" w:color="auto" w:fill="auto"/>
        </w:rPr>
      </w:pPr>
    </w:p>
    <w:p w14:paraId="40B9BCFB">
      <w:pPr>
        <w:pStyle w:val="32"/>
        <w:keepNext/>
        <w:spacing w:beforeAutospacing="0" w:afterAutospacing="0"/>
        <w:jc w:val="center"/>
        <w:rPr>
          <w:rFonts w:hint="eastAsia" w:ascii="黑体" w:hAnsi="宋体" w:eastAsia="黑体" w:cs="黑体"/>
          <w:color w:val="auto"/>
          <w:sz w:val="44"/>
          <w:szCs w:val="44"/>
          <w:highlight w:val="none"/>
          <w:shd w:val="clear" w:color="auto" w:fill="auto"/>
        </w:rPr>
      </w:pPr>
    </w:p>
    <w:p w14:paraId="26E0CFFF">
      <w:pPr>
        <w:pStyle w:val="32"/>
        <w:keepNext/>
        <w:spacing w:beforeAutospacing="0" w:afterAutospacing="0"/>
        <w:jc w:val="center"/>
        <w:rPr>
          <w:rFonts w:hint="eastAsia" w:ascii="黑体" w:hAnsi="宋体" w:eastAsia="黑体" w:cs="黑体"/>
          <w:color w:val="auto"/>
          <w:sz w:val="44"/>
          <w:szCs w:val="44"/>
          <w:highlight w:val="none"/>
          <w:shd w:val="clear" w:color="auto" w:fill="auto"/>
        </w:rPr>
      </w:pPr>
    </w:p>
    <w:p w14:paraId="6E38653F">
      <w:pPr>
        <w:pStyle w:val="32"/>
        <w:keepNext/>
        <w:spacing w:beforeAutospacing="0" w:afterAutospacing="0"/>
        <w:jc w:val="center"/>
        <w:rPr>
          <w:rFonts w:hint="eastAsia" w:ascii="黑体" w:hAnsi="宋体" w:eastAsia="黑体" w:cs="黑体"/>
          <w:color w:val="auto"/>
          <w:sz w:val="44"/>
          <w:szCs w:val="44"/>
          <w:highlight w:val="none"/>
          <w:shd w:val="clear" w:color="auto" w:fill="auto"/>
        </w:rPr>
      </w:pPr>
    </w:p>
    <w:p w14:paraId="213AA76C">
      <w:pPr>
        <w:pStyle w:val="32"/>
        <w:keepNext/>
        <w:spacing w:beforeAutospacing="0" w:afterAutospacing="0"/>
        <w:jc w:val="center"/>
        <w:rPr>
          <w:rFonts w:hint="eastAsia" w:ascii="黑体" w:hAnsi="宋体" w:eastAsia="黑体" w:cs="黑体"/>
          <w:color w:val="auto"/>
          <w:sz w:val="44"/>
          <w:szCs w:val="44"/>
          <w:highlight w:val="none"/>
          <w:shd w:val="clear" w:color="auto" w:fill="auto"/>
        </w:rPr>
      </w:pPr>
    </w:p>
    <w:p w14:paraId="11449430">
      <w:pPr>
        <w:pStyle w:val="32"/>
        <w:spacing w:beforeAutospacing="0" w:afterAutospacing="0"/>
        <w:jc w:val="center"/>
        <w:rPr>
          <w:rFonts w:hint="eastAsia" w:ascii="宋体" w:hAnsi="宋体" w:eastAsia="宋体" w:cs="宋体"/>
          <w:b/>
          <w:color w:val="auto"/>
          <w:sz w:val="72"/>
          <w:szCs w:val="72"/>
          <w:highlight w:val="none"/>
          <w:shd w:val="clear" w:color="auto" w:fill="auto"/>
        </w:rPr>
      </w:pPr>
      <w:bookmarkStart w:id="146" w:name="_Toc49090576"/>
      <w:bookmarkEnd w:id="146"/>
      <w:bookmarkStart w:id="147" w:name="_Toc120614282"/>
      <w:bookmarkEnd w:id="147"/>
      <w:bookmarkStart w:id="148" w:name="_Toc26554094"/>
      <w:bookmarkStart w:id="149" w:name="_Hlt26955039"/>
      <w:bookmarkStart w:id="150" w:name="_Hlt26671244"/>
    </w:p>
    <w:p w14:paraId="33D3F21E">
      <w:pPr>
        <w:pStyle w:val="32"/>
        <w:spacing w:beforeAutospacing="0" w:afterAutospacing="0"/>
        <w:jc w:val="center"/>
        <w:rPr>
          <w:color w:val="auto"/>
          <w:highlight w:val="none"/>
          <w:shd w:val="clear" w:color="auto" w:fill="auto"/>
        </w:rPr>
      </w:pPr>
      <w:r>
        <w:rPr>
          <w:rFonts w:hint="eastAsia" w:ascii="宋体" w:hAnsi="宋体" w:eastAsia="宋体" w:cs="宋体"/>
          <w:b/>
          <w:color w:val="auto"/>
          <w:sz w:val="72"/>
          <w:szCs w:val="72"/>
          <w:highlight w:val="none"/>
          <w:shd w:val="clear" w:color="auto" w:fill="auto"/>
        </w:rPr>
        <w:t>响  应  文  件</w:t>
      </w:r>
    </w:p>
    <w:p w14:paraId="568A0D62">
      <w:pPr>
        <w:pStyle w:val="32"/>
        <w:spacing w:beforeAutospacing="0" w:afterAutospacing="0"/>
        <w:jc w:val="center"/>
        <w:rPr>
          <w:color w:val="auto"/>
          <w:highlight w:val="none"/>
          <w:shd w:val="clear" w:color="auto" w:fill="auto"/>
        </w:rPr>
      </w:pPr>
      <w:r>
        <w:rPr>
          <w:color w:val="auto"/>
          <w:highlight w:val="none"/>
          <w:shd w:val="clear" w:color="auto" w:fill="auto"/>
        </w:rPr>
        <w:t> </w:t>
      </w:r>
    </w:p>
    <w:p w14:paraId="6713E82E">
      <w:pPr>
        <w:pStyle w:val="32"/>
        <w:spacing w:beforeAutospacing="0" w:afterAutospacing="0"/>
        <w:jc w:val="center"/>
        <w:rPr>
          <w:color w:val="auto"/>
          <w:highlight w:val="none"/>
          <w:shd w:val="clear" w:color="auto" w:fill="auto"/>
        </w:rPr>
      </w:pPr>
      <w:r>
        <w:rPr>
          <w:color w:val="auto"/>
          <w:highlight w:val="none"/>
          <w:shd w:val="clear" w:color="auto" w:fill="auto"/>
        </w:rPr>
        <w:t> </w:t>
      </w:r>
    </w:p>
    <w:p w14:paraId="43A37A08">
      <w:pPr>
        <w:pStyle w:val="32"/>
        <w:spacing w:beforeAutospacing="0" w:afterAutospacing="0"/>
        <w:jc w:val="center"/>
        <w:rPr>
          <w:color w:val="auto"/>
          <w:highlight w:val="none"/>
          <w:shd w:val="clear" w:color="auto" w:fill="auto"/>
        </w:rPr>
      </w:pPr>
      <w:r>
        <w:rPr>
          <w:color w:val="auto"/>
          <w:highlight w:val="none"/>
          <w:shd w:val="clear" w:color="auto" w:fill="auto"/>
        </w:rPr>
        <w:t> </w:t>
      </w:r>
    </w:p>
    <w:p w14:paraId="5B13A57D">
      <w:pPr>
        <w:pStyle w:val="32"/>
        <w:spacing w:beforeAutospacing="0" w:afterAutospacing="0"/>
        <w:jc w:val="center"/>
        <w:rPr>
          <w:color w:val="auto"/>
          <w:highlight w:val="none"/>
          <w:shd w:val="clear" w:color="auto" w:fill="auto"/>
        </w:rPr>
      </w:pPr>
      <w:r>
        <w:rPr>
          <w:color w:val="auto"/>
          <w:highlight w:val="none"/>
          <w:shd w:val="clear" w:color="auto" w:fill="auto"/>
        </w:rPr>
        <w:t> </w:t>
      </w:r>
    </w:p>
    <w:p w14:paraId="6640B9DF">
      <w:pPr>
        <w:pStyle w:val="32"/>
        <w:spacing w:beforeAutospacing="0" w:afterAutospacing="0"/>
        <w:jc w:val="center"/>
        <w:rPr>
          <w:color w:val="auto"/>
          <w:highlight w:val="none"/>
          <w:shd w:val="clear" w:color="auto" w:fill="auto"/>
        </w:rPr>
      </w:pPr>
    </w:p>
    <w:p w14:paraId="52EA44D5">
      <w:pPr>
        <w:pStyle w:val="32"/>
        <w:spacing w:beforeAutospacing="0" w:afterAutospacing="0"/>
        <w:jc w:val="center"/>
        <w:rPr>
          <w:color w:val="auto"/>
          <w:highlight w:val="none"/>
          <w:shd w:val="clear" w:color="auto" w:fill="auto"/>
        </w:rPr>
      </w:pPr>
    </w:p>
    <w:p w14:paraId="2C6436B1">
      <w:pPr>
        <w:pStyle w:val="32"/>
        <w:spacing w:beforeAutospacing="0" w:afterAutospacing="0"/>
        <w:jc w:val="center"/>
        <w:rPr>
          <w:color w:val="auto"/>
          <w:highlight w:val="none"/>
          <w:shd w:val="clear" w:color="auto" w:fill="auto"/>
        </w:rPr>
      </w:pPr>
    </w:p>
    <w:p w14:paraId="026900F1">
      <w:pPr>
        <w:pStyle w:val="32"/>
        <w:spacing w:beforeAutospacing="0" w:afterAutospacing="0"/>
        <w:jc w:val="center"/>
        <w:rPr>
          <w:color w:val="auto"/>
          <w:highlight w:val="none"/>
          <w:shd w:val="clear" w:color="auto" w:fill="auto"/>
        </w:rPr>
      </w:pPr>
    </w:p>
    <w:p w14:paraId="4A47E608">
      <w:pPr>
        <w:pStyle w:val="32"/>
        <w:spacing w:beforeAutospacing="0" w:afterAutospacing="0"/>
        <w:jc w:val="center"/>
        <w:rPr>
          <w:color w:val="auto"/>
          <w:highlight w:val="none"/>
          <w:shd w:val="clear" w:color="auto" w:fill="auto"/>
        </w:rPr>
      </w:pPr>
    </w:p>
    <w:p w14:paraId="6A6BB99F">
      <w:pPr>
        <w:pStyle w:val="32"/>
        <w:spacing w:beforeAutospacing="0" w:afterAutospacing="0"/>
        <w:jc w:val="center"/>
        <w:rPr>
          <w:color w:val="auto"/>
          <w:highlight w:val="none"/>
          <w:shd w:val="clear" w:color="auto" w:fill="auto"/>
        </w:rPr>
      </w:pPr>
    </w:p>
    <w:p w14:paraId="0F3705F0">
      <w:pPr>
        <w:pStyle w:val="32"/>
        <w:spacing w:beforeAutospacing="0" w:afterAutospacing="0"/>
        <w:jc w:val="center"/>
        <w:rPr>
          <w:color w:val="auto"/>
          <w:highlight w:val="none"/>
          <w:shd w:val="clear" w:color="auto" w:fill="auto"/>
        </w:rPr>
      </w:pPr>
      <w:r>
        <w:rPr>
          <w:color w:val="auto"/>
          <w:highlight w:val="none"/>
          <w:shd w:val="clear" w:color="auto" w:fill="auto"/>
        </w:rPr>
        <w:t> </w:t>
      </w:r>
    </w:p>
    <w:p w14:paraId="202AD744">
      <w:pPr>
        <w:pStyle w:val="32"/>
        <w:spacing w:beforeAutospacing="0" w:afterAutospacing="0"/>
        <w:ind w:firstLine="1084"/>
        <w:jc w:val="both"/>
        <w:rPr>
          <w:rFonts w:hint="eastAsia" w:eastAsia="宋体"/>
          <w:color w:val="auto"/>
          <w:highlight w:val="none"/>
          <w:shd w:val="clear" w:color="auto" w:fill="auto"/>
          <w:lang w:val="en-US" w:eastAsia="zh-CN"/>
        </w:rPr>
      </w:pPr>
      <w:r>
        <w:rPr>
          <w:rFonts w:hint="eastAsia" w:ascii="宋体" w:hAnsi="宋体" w:eastAsia="宋体" w:cs="宋体"/>
          <w:b/>
          <w:color w:val="auto"/>
          <w:sz w:val="36"/>
          <w:szCs w:val="36"/>
          <w:highlight w:val="none"/>
          <w:shd w:val="clear" w:color="auto" w:fill="auto"/>
        </w:rPr>
        <w:t>项 目名 称：</w:t>
      </w:r>
      <w:r>
        <w:rPr>
          <w:rFonts w:hint="eastAsia" w:ascii="宋体" w:hAnsi="宋体" w:eastAsia="宋体" w:cs="宋体"/>
          <w:b/>
          <w:color w:val="auto"/>
          <w:sz w:val="36"/>
          <w:szCs w:val="36"/>
          <w:highlight w:val="none"/>
          <w:u w:val="single"/>
          <w:shd w:val="clear" w:color="auto" w:fill="auto"/>
        </w:rPr>
        <w:t>            </w:t>
      </w:r>
      <w:r>
        <w:rPr>
          <w:rFonts w:hint="eastAsia" w:ascii="宋体" w:hAnsi="宋体" w:eastAsia="宋体" w:cs="宋体"/>
          <w:b/>
          <w:color w:val="auto"/>
          <w:sz w:val="36"/>
          <w:szCs w:val="36"/>
          <w:highlight w:val="none"/>
          <w:u w:val="single"/>
          <w:shd w:val="clear" w:color="auto" w:fill="auto"/>
          <w:lang w:val="en-US" w:eastAsia="zh-CN"/>
        </w:rPr>
        <w:t xml:space="preserve"> </w:t>
      </w:r>
    </w:p>
    <w:p w14:paraId="23D57D14">
      <w:pPr>
        <w:pStyle w:val="32"/>
        <w:spacing w:beforeAutospacing="0" w:afterAutospacing="0"/>
        <w:ind w:firstLine="1084"/>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项 目编 号：</w:t>
      </w:r>
      <w:r>
        <w:rPr>
          <w:rFonts w:hint="eastAsia" w:ascii="宋体" w:hAnsi="宋体" w:eastAsia="宋体" w:cs="宋体"/>
          <w:b/>
          <w:color w:val="auto"/>
          <w:sz w:val="36"/>
          <w:szCs w:val="36"/>
          <w:highlight w:val="none"/>
          <w:u w:val="single"/>
          <w:shd w:val="clear" w:color="auto" w:fill="auto"/>
        </w:rPr>
        <w:t xml:space="preserve">             </w:t>
      </w:r>
    </w:p>
    <w:p w14:paraId="233C94E3">
      <w:pPr>
        <w:pStyle w:val="32"/>
        <w:spacing w:beforeAutospacing="0" w:afterAutospacing="0"/>
        <w:jc w:val="both"/>
        <w:rPr>
          <w:rFonts w:hint="default" w:eastAsia="宋体"/>
          <w:color w:val="auto"/>
          <w:highlight w:val="none"/>
          <w:shd w:val="clear" w:color="auto" w:fill="auto"/>
          <w:lang w:val="en-US" w:eastAsia="zh-CN"/>
        </w:rPr>
      </w:pPr>
      <w:r>
        <w:rPr>
          <w:rFonts w:hint="eastAsia" w:ascii="宋体" w:hAnsi="宋体" w:eastAsia="宋体" w:cs="宋体"/>
          <w:b/>
          <w:color w:val="auto"/>
          <w:sz w:val="36"/>
          <w:szCs w:val="36"/>
          <w:highlight w:val="none"/>
          <w:shd w:val="clear" w:color="auto" w:fill="auto"/>
        </w:rPr>
        <w:t>   供应商名称：</w:t>
      </w:r>
      <w:r>
        <w:rPr>
          <w:rFonts w:hint="eastAsia" w:ascii="宋体" w:hAnsi="宋体" w:eastAsia="宋体" w:cs="宋体"/>
          <w:b/>
          <w:color w:val="auto"/>
          <w:sz w:val="36"/>
          <w:szCs w:val="36"/>
          <w:highlight w:val="none"/>
          <w:u w:val="single"/>
          <w:shd w:val="clear" w:color="auto" w:fill="auto"/>
        </w:rPr>
        <w:t>（加盖CA电子公章）</w:t>
      </w:r>
      <w:r>
        <w:rPr>
          <w:rFonts w:hint="eastAsia" w:ascii="宋体" w:hAnsi="宋体" w:eastAsia="宋体" w:cs="宋体"/>
          <w:b/>
          <w:color w:val="auto"/>
          <w:sz w:val="36"/>
          <w:szCs w:val="36"/>
          <w:highlight w:val="none"/>
          <w:u w:val="single"/>
          <w:shd w:val="clear" w:color="auto" w:fill="auto"/>
          <w:lang w:val="en-US" w:eastAsia="zh-CN"/>
        </w:rPr>
        <w:t xml:space="preserve">      </w:t>
      </w:r>
    </w:p>
    <w:p w14:paraId="3E6E97AF">
      <w:pPr>
        <w:pStyle w:val="32"/>
        <w:spacing w:beforeAutospacing="0" w:afterAutospacing="0"/>
        <w:jc w:val="both"/>
        <w:rPr>
          <w:rFonts w:hint="default" w:eastAsia="宋体"/>
          <w:color w:val="auto"/>
          <w:highlight w:val="none"/>
          <w:shd w:val="clear" w:color="auto" w:fill="auto"/>
          <w:lang w:val="en-US" w:eastAsia="zh-CN"/>
        </w:rPr>
      </w:pPr>
      <w:r>
        <w:rPr>
          <w:rFonts w:hint="eastAsia" w:ascii="宋体" w:hAnsi="宋体" w:eastAsia="宋体" w:cs="宋体"/>
          <w:b/>
          <w:color w:val="auto"/>
          <w:sz w:val="36"/>
          <w:szCs w:val="36"/>
          <w:highlight w:val="none"/>
          <w:shd w:val="clear" w:color="auto" w:fill="auto"/>
        </w:rPr>
        <w:t>    日   期：</w:t>
      </w:r>
      <w:r>
        <w:rPr>
          <w:rFonts w:hint="eastAsia" w:ascii="宋体" w:hAnsi="宋体" w:eastAsia="宋体" w:cs="宋体"/>
          <w:b/>
          <w:color w:val="auto"/>
          <w:sz w:val="36"/>
          <w:szCs w:val="36"/>
          <w:highlight w:val="none"/>
          <w:u w:val="single"/>
          <w:shd w:val="clear" w:color="auto" w:fill="auto"/>
        </w:rPr>
        <w:t>           </w:t>
      </w:r>
      <w:r>
        <w:rPr>
          <w:rFonts w:hint="eastAsia" w:ascii="宋体" w:hAnsi="宋体" w:eastAsia="宋体" w:cs="宋体"/>
          <w:b/>
          <w:color w:val="auto"/>
          <w:sz w:val="36"/>
          <w:szCs w:val="36"/>
          <w:highlight w:val="none"/>
          <w:u w:val="single"/>
          <w:shd w:val="clear" w:color="auto" w:fill="auto"/>
          <w:lang w:val="en-US" w:eastAsia="zh-CN"/>
        </w:rPr>
        <w:t xml:space="preserve">   </w:t>
      </w:r>
    </w:p>
    <w:p w14:paraId="4ED8F5C1">
      <w:pPr>
        <w:pStyle w:val="32"/>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0C607CFA">
      <w:pPr>
        <w:pStyle w:val="32"/>
        <w:spacing w:beforeAutospacing="0" w:afterAutospacing="0" w:line="0" w:lineRule="atLeast"/>
        <w:jc w:val="center"/>
        <w:rPr>
          <w:rFonts w:ascii="宋体" w:hAnsi="宋体" w:eastAsia="宋体" w:cs="宋体"/>
          <w:b/>
          <w:color w:val="auto"/>
          <w:sz w:val="32"/>
          <w:szCs w:val="32"/>
          <w:highlight w:val="none"/>
          <w:shd w:val="clear" w:color="auto" w:fill="auto"/>
        </w:rPr>
      </w:pPr>
    </w:p>
    <w:p w14:paraId="261EC64B">
      <w:pPr>
        <w:pStyle w:val="32"/>
        <w:spacing w:beforeAutospacing="0" w:afterAutospacing="0" w:line="0" w:lineRule="atLeast"/>
        <w:jc w:val="center"/>
        <w:rPr>
          <w:rFonts w:ascii="宋体" w:hAnsi="宋体" w:eastAsia="宋体" w:cs="宋体"/>
          <w:b/>
          <w:color w:val="auto"/>
          <w:sz w:val="32"/>
          <w:szCs w:val="32"/>
          <w:highlight w:val="none"/>
          <w:shd w:val="clear" w:color="auto" w:fill="auto"/>
        </w:rPr>
      </w:pPr>
    </w:p>
    <w:p w14:paraId="491409DB">
      <w:pPr>
        <w:pStyle w:val="32"/>
        <w:spacing w:beforeAutospacing="0" w:afterAutospacing="0" w:line="0" w:lineRule="atLeast"/>
        <w:jc w:val="center"/>
        <w:rPr>
          <w:rFonts w:ascii="宋体" w:hAnsi="宋体" w:eastAsia="宋体" w:cs="宋体"/>
          <w:b/>
          <w:color w:val="auto"/>
          <w:sz w:val="32"/>
          <w:szCs w:val="32"/>
          <w:highlight w:val="none"/>
          <w:shd w:val="clear" w:color="auto" w:fill="auto"/>
        </w:rPr>
      </w:pPr>
    </w:p>
    <w:p w14:paraId="481A0026">
      <w:pPr>
        <w:pStyle w:val="32"/>
        <w:spacing w:beforeAutospacing="0" w:afterAutospacing="0" w:line="0" w:lineRule="atLeast"/>
        <w:jc w:val="center"/>
        <w:rPr>
          <w:rFonts w:ascii="宋体" w:hAnsi="宋体" w:eastAsia="宋体" w:cs="宋体"/>
          <w:b/>
          <w:bCs/>
          <w:color w:val="auto"/>
          <w:sz w:val="32"/>
          <w:szCs w:val="32"/>
          <w:highlight w:val="none"/>
        </w:rPr>
      </w:pPr>
    </w:p>
    <w:p w14:paraId="3496FADB">
      <w:pPr>
        <w:pStyle w:val="32"/>
        <w:spacing w:beforeAutospacing="0" w:afterAutospacing="0" w:line="0" w:lineRule="atLeast"/>
        <w:jc w:val="center"/>
        <w:rPr>
          <w:rFonts w:ascii="宋体" w:hAnsi="宋体" w:eastAsia="宋体" w:cs="宋体"/>
          <w:b/>
          <w:bCs/>
          <w:color w:val="auto"/>
          <w:sz w:val="32"/>
          <w:szCs w:val="32"/>
          <w:highlight w:val="none"/>
        </w:rPr>
      </w:pPr>
    </w:p>
    <w:p w14:paraId="50326FF1">
      <w:pPr>
        <w:pStyle w:val="32"/>
        <w:spacing w:beforeAutospacing="0" w:afterAutospacing="0" w:line="0" w:lineRule="atLeast"/>
        <w:jc w:val="center"/>
        <w:rPr>
          <w:rFonts w:ascii="宋体" w:hAnsi="宋体" w:eastAsia="宋体" w:cs="宋体"/>
          <w:b/>
          <w:bCs/>
          <w:color w:val="auto"/>
          <w:sz w:val="32"/>
          <w:szCs w:val="32"/>
          <w:highlight w:val="none"/>
          <w:shd w:val="clear" w:color="auto" w:fill="auto"/>
        </w:rPr>
      </w:pPr>
    </w:p>
    <w:p w14:paraId="1D49723D">
      <w:pPr>
        <w:pStyle w:val="32"/>
        <w:spacing w:beforeAutospacing="0" w:afterAutospacing="0" w:line="0" w:lineRule="atLeast"/>
        <w:jc w:val="both"/>
        <w:rPr>
          <w:rFonts w:ascii="宋体" w:hAnsi="宋体" w:eastAsia="宋体" w:cs="宋体"/>
          <w:b/>
          <w:color w:val="auto"/>
          <w:sz w:val="32"/>
          <w:szCs w:val="32"/>
          <w:highlight w:val="none"/>
          <w:shd w:val="clear" w:color="auto" w:fill="auto"/>
        </w:rPr>
      </w:pPr>
    </w:p>
    <w:p w14:paraId="19147836">
      <w:pPr>
        <w:pStyle w:val="32"/>
        <w:spacing w:beforeAutospacing="0" w:afterAutospacing="0" w:line="0" w:lineRule="atLeast"/>
        <w:jc w:val="cente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响应文件目录</w:t>
      </w:r>
    </w:p>
    <w:p w14:paraId="17247C47">
      <w:pPr>
        <w:pStyle w:val="32"/>
        <w:keepNext w:val="0"/>
        <w:keepLines w:val="0"/>
        <w:pageBreakBefore w:val="0"/>
        <w:spacing w:beforeAutospacing="0" w:afterAutospacing="0" w:line="500" w:lineRule="exact"/>
        <w:jc w:val="center"/>
        <w:rPr>
          <w:color w:val="auto"/>
          <w:highlight w:val="none"/>
          <w:shd w:val="clear" w:color="auto" w:fill="auto"/>
        </w:rPr>
      </w:pPr>
      <w:r>
        <w:rPr>
          <w:color w:val="auto"/>
          <w:highlight w:val="none"/>
          <w:shd w:val="clear" w:color="auto" w:fill="auto"/>
        </w:rPr>
        <w:t> </w:t>
      </w:r>
    </w:p>
    <w:p w14:paraId="40A7DFF7">
      <w:pPr>
        <w:pStyle w:val="32"/>
        <w:keepNext w:val="0"/>
        <w:keepLines w:val="0"/>
        <w:pageBreakBefore w:val="0"/>
        <w:spacing w:beforeAutospacing="0" w:afterAutospacing="0" w:line="500" w:lineRule="exact"/>
        <w:ind w:left="480"/>
        <w:jc w:val="both"/>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一、法人或者其他组织的营业执照等证明文件，自然人的身份证明</w:t>
      </w:r>
    </w:p>
    <w:p w14:paraId="37435734">
      <w:pPr>
        <w:keepNext w:val="0"/>
        <w:keepLines w:val="0"/>
        <w:pageBreakBefore w:val="0"/>
        <w:tabs>
          <w:tab w:val="left" w:pos="1331"/>
        </w:tabs>
        <w:spacing w:line="500" w:lineRule="exact"/>
        <w:ind w:firstLine="480"/>
        <w:jc w:val="left"/>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二、上一年度的财务状况报表（成立不满一年无需提供）</w:t>
      </w:r>
    </w:p>
    <w:p w14:paraId="082B19A0">
      <w:pPr>
        <w:pStyle w:val="32"/>
        <w:keepNext w:val="0"/>
        <w:keepLines w:val="0"/>
        <w:pageBreakBefore w:val="0"/>
        <w:spacing w:beforeAutospacing="0" w:afterAutospacing="0" w:line="500" w:lineRule="exact"/>
        <w:ind w:left="480"/>
        <w:jc w:val="both"/>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val="en-US" w:eastAsia="zh-CN"/>
        </w:rPr>
        <w:t>三</w:t>
      </w:r>
      <w:r>
        <w:rPr>
          <w:rFonts w:hint="eastAsia" w:ascii="宋体" w:hAnsi="宋体" w:eastAsia="宋体" w:cs="宋体"/>
          <w:i w:val="0"/>
          <w:iCs/>
          <w:color w:val="auto"/>
          <w:highlight w:val="none"/>
          <w:u w:val="none"/>
          <w:shd w:val="clear" w:color="auto" w:fill="auto"/>
        </w:rPr>
        <w:t>、具备履行合同所必需的设备和专业技术能力的书面声明</w:t>
      </w:r>
    </w:p>
    <w:p w14:paraId="294F446F">
      <w:pPr>
        <w:pStyle w:val="32"/>
        <w:keepNext w:val="0"/>
        <w:keepLines w:val="0"/>
        <w:pageBreakBefore w:val="0"/>
        <w:spacing w:beforeAutospacing="0" w:afterAutospacing="0" w:line="500" w:lineRule="exact"/>
        <w:ind w:left="480"/>
        <w:jc w:val="both"/>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val="en-US" w:eastAsia="zh-CN"/>
        </w:rPr>
        <w:t>四</w:t>
      </w:r>
      <w:r>
        <w:rPr>
          <w:rFonts w:hint="eastAsia" w:ascii="宋体" w:hAnsi="宋体" w:eastAsia="宋体" w:cs="宋体"/>
          <w:i w:val="0"/>
          <w:iCs/>
          <w:color w:val="auto"/>
          <w:highlight w:val="none"/>
          <w:u w:val="none"/>
          <w:shd w:val="clear" w:color="auto" w:fill="auto"/>
        </w:rPr>
        <w:t>、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399E9499">
      <w:pPr>
        <w:pStyle w:val="32"/>
        <w:keepNext w:val="0"/>
        <w:keepLines w:val="0"/>
        <w:pageBreakBefore w:val="0"/>
        <w:spacing w:beforeAutospacing="0" w:afterAutospacing="0" w:line="500" w:lineRule="exact"/>
        <w:ind w:firstLine="480"/>
        <w:jc w:val="both"/>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五、参加政府采购活动前 3 年内在经营活动中没有重大违法记录的书面声明</w:t>
      </w:r>
    </w:p>
    <w:p w14:paraId="5C2AF488">
      <w:pPr>
        <w:pStyle w:val="32"/>
        <w:keepNext w:val="0"/>
        <w:keepLines w:val="0"/>
        <w:pageBreakBefore w:val="0"/>
        <w:spacing w:beforeAutospacing="0" w:afterAutospacing="0" w:line="500" w:lineRule="exact"/>
        <w:ind w:firstLine="480"/>
        <w:jc w:val="both"/>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六、特定资格要求的证明文件（如果本项目设置特定资格要求，则需要提供）</w:t>
      </w:r>
    </w:p>
    <w:p w14:paraId="6C7A9838">
      <w:pPr>
        <w:pStyle w:val="32"/>
        <w:keepNext w:val="0"/>
        <w:keepLines w:val="0"/>
        <w:pageBreakBefore w:val="0"/>
        <w:spacing w:beforeAutospacing="0" w:afterAutospacing="0" w:line="500" w:lineRule="exact"/>
        <w:ind w:firstLine="480"/>
        <w:jc w:val="both"/>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七、法人授权书</w:t>
      </w:r>
    </w:p>
    <w:p w14:paraId="577AABE2">
      <w:pPr>
        <w:pStyle w:val="32"/>
        <w:keepNext w:val="0"/>
        <w:keepLines w:val="0"/>
        <w:pageBreakBefore w:val="0"/>
        <w:spacing w:beforeAutospacing="0" w:afterAutospacing="0" w:line="500" w:lineRule="exact"/>
        <w:ind w:firstLine="480"/>
        <w:jc w:val="both"/>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八、磋商响应函</w:t>
      </w:r>
    </w:p>
    <w:p w14:paraId="42486AC6">
      <w:pPr>
        <w:pStyle w:val="32"/>
        <w:keepNext w:val="0"/>
        <w:keepLines w:val="0"/>
        <w:pageBreakBefore w:val="0"/>
        <w:spacing w:beforeAutospacing="0" w:afterAutospacing="0" w:line="500" w:lineRule="exact"/>
        <w:ind w:firstLine="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shd w:val="clear" w:color="auto" w:fill="auto"/>
        </w:rPr>
        <w:t>九、</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p>
    <w:p w14:paraId="2DA368D5">
      <w:pPr>
        <w:pStyle w:val="32"/>
        <w:keepNext w:val="0"/>
        <w:keepLines w:val="0"/>
        <w:pageBreakBefore w:val="0"/>
        <w:spacing w:beforeAutospacing="0" w:afterAutospacing="0" w:line="500" w:lineRule="exact"/>
        <w:ind w:firstLine="480"/>
        <w:jc w:val="both"/>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十、残疾人福利性单位声明函</w:t>
      </w:r>
    </w:p>
    <w:p w14:paraId="79D44A05">
      <w:pPr>
        <w:pStyle w:val="32"/>
        <w:keepNext w:val="0"/>
        <w:keepLines w:val="0"/>
        <w:pageBreakBefore w:val="0"/>
        <w:spacing w:beforeAutospacing="0" w:afterAutospacing="0" w:line="500" w:lineRule="exact"/>
        <w:ind w:firstLine="480"/>
        <w:jc w:val="both"/>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十</w:t>
      </w:r>
      <w:r>
        <w:rPr>
          <w:rFonts w:hint="eastAsia" w:ascii="宋体" w:hAnsi="宋体" w:eastAsia="宋体" w:cs="宋体"/>
          <w:i w:val="0"/>
          <w:iCs/>
          <w:color w:val="auto"/>
          <w:highlight w:val="none"/>
          <w:u w:val="none"/>
          <w:shd w:val="clear" w:color="auto" w:fill="auto"/>
          <w:lang w:val="en-US" w:eastAsia="zh-CN"/>
        </w:rPr>
        <w:t>一</w:t>
      </w:r>
      <w:r>
        <w:rPr>
          <w:rFonts w:hint="eastAsia" w:ascii="宋体" w:hAnsi="宋体" w:eastAsia="宋体" w:cs="宋体"/>
          <w:i w:val="0"/>
          <w:iCs/>
          <w:color w:val="auto"/>
          <w:highlight w:val="none"/>
          <w:u w:val="none"/>
          <w:shd w:val="clear" w:color="auto" w:fill="auto"/>
        </w:rPr>
        <w:t>、分项报价表</w:t>
      </w:r>
    </w:p>
    <w:p w14:paraId="2CF9B698">
      <w:pPr>
        <w:pStyle w:val="32"/>
        <w:keepNext w:val="0"/>
        <w:keepLines w:val="0"/>
        <w:pageBreakBefore w:val="0"/>
        <w:spacing w:beforeAutospacing="0" w:afterAutospacing="0" w:line="500" w:lineRule="exact"/>
        <w:ind w:firstLine="480"/>
        <w:jc w:val="both"/>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十</w:t>
      </w:r>
      <w:r>
        <w:rPr>
          <w:rFonts w:hint="eastAsia" w:ascii="宋体" w:hAnsi="宋体" w:eastAsia="宋体" w:cs="宋体"/>
          <w:i w:val="0"/>
          <w:iCs/>
          <w:color w:val="auto"/>
          <w:highlight w:val="none"/>
          <w:u w:val="none"/>
          <w:shd w:val="clear" w:color="auto" w:fill="auto"/>
          <w:lang w:val="en-US" w:eastAsia="zh-CN"/>
        </w:rPr>
        <w:t>二</w:t>
      </w:r>
      <w:r>
        <w:rPr>
          <w:rFonts w:hint="eastAsia" w:ascii="宋体" w:hAnsi="宋体" w:eastAsia="宋体" w:cs="宋体"/>
          <w:i w:val="0"/>
          <w:iCs/>
          <w:color w:val="auto"/>
          <w:highlight w:val="none"/>
          <w:u w:val="none"/>
          <w:shd w:val="clear" w:color="auto" w:fill="auto"/>
        </w:rPr>
        <w:t>、技术要求响应及偏离表</w:t>
      </w:r>
    </w:p>
    <w:p w14:paraId="71ADB069">
      <w:pPr>
        <w:pStyle w:val="32"/>
        <w:keepNext w:val="0"/>
        <w:keepLines w:val="0"/>
        <w:pageBreakBefore w:val="0"/>
        <w:spacing w:beforeAutospacing="0" w:afterAutospacing="0" w:line="500" w:lineRule="exact"/>
        <w:ind w:firstLine="480"/>
        <w:jc w:val="both"/>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十</w:t>
      </w:r>
      <w:r>
        <w:rPr>
          <w:rFonts w:hint="eastAsia" w:ascii="宋体" w:hAnsi="宋体" w:eastAsia="宋体" w:cs="宋体"/>
          <w:i w:val="0"/>
          <w:iCs/>
          <w:color w:val="auto"/>
          <w:highlight w:val="none"/>
          <w:u w:val="none"/>
          <w:shd w:val="clear" w:color="auto" w:fill="auto"/>
          <w:lang w:val="en-US" w:eastAsia="zh-CN"/>
        </w:rPr>
        <w:t>三</w:t>
      </w:r>
      <w:r>
        <w:rPr>
          <w:rFonts w:hint="eastAsia" w:ascii="宋体" w:hAnsi="宋体" w:eastAsia="宋体" w:cs="宋体"/>
          <w:i w:val="0"/>
          <w:iCs/>
          <w:color w:val="auto"/>
          <w:highlight w:val="none"/>
          <w:u w:val="none"/>
          <w:shd w:val="clear" w:color="auto" w:fill="auto"/>
        </w:rPr>
        <w:t>、商务要求响应及偏离表</w:t>
      </w:r>
    </w:p>
    <w:p w14:paraId="7952170E">
      <w:pPr>
        <w:pStyle w:val="32"/>
        <w:keepNext w:val="0"/>
        <w:keepLines w:val="0"/>
        <w:pageBreakBefore w:val="0"/>
        <w:spacing w:beforeAutospacing="0" w:afterAutospacing="0" w:line="500" w:lineRule="exact"/>
        <w:ind w:firstLine="480"/>
        <w:jc w:val="both"/>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十</w:t>
      </w:r>
      <w:r>
        <w:rPr>
          <w:rFonts w:hint="eastAsia" w:ascii="宋体" w:hAnsi="宋体" w:eastAsia="宋体" w:cs="宋体"/>
          <w:i w:val="0"/>
          <w:iCs/>
          <w:color w:val="auto"/>
          <w:highlight w:val="none"/>
          <w:u w:val="none"/>
          <w:shd w:val="clear" w:color="auto" w:fill="auto"/>
          <w:lang w:val="en-US" w:eastAsia="zh-CN"/>
        </w:rPr>
        <w:t>四</w:t>
      </w:r>
      <w:r>
        <w:rPr>
          <w:rFonts w:hint="eastAsia" w:ascii="宋体" w:hAnsi="宋体" w:eastAsia="宋体" w:cs="宋体"/>
          <w:i w:val="0"/>
          <w:iCs/>
          <w:color w:val="auto"/>
          <w:highlight w:val="none"/>
          <w:u w:val="none"/>
          <w:shd w:val="clear" w:color="auto" w:fill="auto"/>
        </w:rPr>
        <w:t>、开标一览表</w:t>
      </w:r>
    </w:p>
    <w:p w14:paraId="3CEB3F8B">
      <w:pPr>
        <w:keepNext w:val="0"/>
        <w:keepLines w:val="0"/>
        <w:pageBreakBefore w:val="0"/>
        <w:widowControl/>
        <w:spacing w:before="50" w:after="50" w:line="500" w:lineRule="exact"/>
        <w:ind w:firstLine="480"/>
        <w:rPr>
          <w:rFonts w:ascii="宋体" w:hAnsi="宋体" w:eastAsia="宋体" w:cs="宋体"/>
          <w:i w:val="0"/>
          <w:iCs/>
          <w:color w:val="auto"/>
          <w:sz w:val="24"/>
          <w:highlight w:val="none"/>
          <w:u w:val="none"/>
          <w:shd w:val="clear" w:color="auto" w:fill="auto"/>
        </w:rPr>
      </w:pPr>
      <w:r>
        <w:rPr>
          <w:rFonts w:hint="eastAsia" w:ascii="宋体" w:hAnsi="宋体" w:eastAsia="宋体" w:cs="宋体"/>
          <w:i w:val="0"/>
          <w:iCs/>
          <w:color w:val="auto"/>
          <w:sz w:val="24"/>
          <w:highlight w:val="none"/>
          <w:u w:val="none"/>
          <w:shd w:val="clear" w:color="auto" w:fill="auto"/>
        </w:rPr>
        <w:t>十</w:t>
      </w:r>
      <w:r>
        <w:rPr>
          <w:rFonts w:hint="eastAsia" w:ascii="宋体" w:hAnsi="宋体" w:eastAsia="宋体" w:cs="宋体"/>
          <w:i w:val="0"/>
          <w:iCs/>
          <w:color w:val="auto"/>
          <w:sz w:val="24"/>
          <w:highlight w:val="none"/>
          <w:u w:val="none"/>
          <w:shd w:val="clear" w:color="auto" w:fill="auto"/>
          <w:lang w:val="en-US" w:eastAsia="zh-CN"/>
        </w:rPr>
        <w:t>五</w:t>
      </w:r>
      <w:r>
        <w:rPr>
          <w:rFonts w:hint="eastAsia" w:ascii="宋体" w:hAnsi="宋体" w:eastAsia="宋体" w:cs="宋体"/>
          <w:i w:val="0"/>
          <w:iCs/>
          <w:color w:val="auto"/>
          <w:sz w:val="24"/>
          <w:highlight w:val="none"/>
          <w:u w:val="none"/>
          <w:shd w:val="clear" w:color="auto" w:fill="auto"/>
        </w:rPr>
        <w:t>、技术方案、服务承诺、培训承诺等</w:t>
      </w:r>
    </w:p>
    <w:p w14:paraId="1683811E">
      <w:pPr>
        <w:pStyle w:val="32"/>
        <w:keepNext w:val="0"/>
        <w:keepLines w:val="0"/>
        <w:pageBreakBefore w:val="0"/>
        <w:spacing w:beforeAutospacing="0" w:afterAutospacing="0" w:line="500" w:lineRule="exact"/>
        <w:ind w:firstLine="480"/>
        <w:jc w:val="both"/>
        <w:rPr>
          <w:rFonts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十</w:t>
      </w:r>
      <w:r>
        <w:rPr>
          <w:rFonts w:hint="eastAsia" w:ascii="宋体" w:hAnsi="宋体" w:eastAsia="宋体" w:cs="宋体"/>
          <w:i w:val="0"/>
          <w:iCs/>
          <w:color w:val="auto"/>
          <w:highlight w:val="none"/>
          <w:u w:val="none"/>
          <w:shd w:val="clear" w:color="auto" w:fill="auto"/>
          <w:lang w:val="en-US" w:eastAsia="zh-CN"/>
        </w:rPr>
        <w:t>六</w:t>
      </w:r>
      <w:r>
        <w:rPr>
          <w:rFonts w:hint="eastAsia" w:ascii="宋体" w:hAnsi="宋体" w:eastAsia="宋体" w:cs="宋体"/>
          <w:i w:val="0"/>
          <w:iCs/>
          <w:color w:val="auto"/>
          <w:highlight w:val="none"/>
          <w:u w:val="none"/>
          <w:shd w:val="clear" w:color="auto" w:fill="auto"/>
        </w:rPr>
        <w:t>、盐城市政府采购事前信用承诺书</w:t>
      </w:r>
    </w:p>
    <w:p w14:paraId="5A9C756E">
      <w:pPr>
        <w:pStyle w:val="32"/>
        <w:spacing w:beforeAutospacing="0" w:afterAutospacing="0" w:line="360" w:lineRule="auto"/>
        <w:ind w:firstLine="480"/>
        <w:jc w:val="both"/>
        <w:rPr>
          <w:rFonts w:ascii="宋体" w:hAnsi="宋体" w:eastAsia="宋体" w:cs="宋体"/>
          <w:i w:val="0"/>
          <w:iCs/>
          <w:color w:val="auto"/>
          <w:highlight w:val="none"/>
          <w:u w:val="none"/>
          <w:shd w:val="clear" w:color="auto" w:fill="auto"/>
        </w:rPr>
      </w:pPr>
    </w:p>
    <w:p w14:paraId="3C5588ED">
      <w:pPr>
        <w:pStyle w:val="32"/>
        <w:spacing w:beforeAutospacing="0" w:afterAutospacing="0" w:line="0" w:lineRule="atLeast"/>
        <w:ind w:firstLine="480"/>
        <w:jc w:val="both"/>
        <w:rPr>
          <w:color w:val="auto"/>
          <w:highlight w:val="none"/>
          <w:shd w:val="clear" w:color="auto" w:fill="auto"/>
        </w:rPr>
      </w:pPr>
    </w:p>
    <w:p w14:paraId="314098B7">
      <w:pPr>
        <w:pStyle w:val="32"/>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0377C450">
      <w:pPr>
        <w:pStyle w:val="32"/>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7A6DA628">
      <w:pPr>
        <w:pStyle w:val="32"/>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476F2F9C">
      <w:pPr>
        <w:pStyle w:val="32"/>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2CEFF529">
      <w:pPr>
        <w:pStyle w:val="32"/>
        <w:spacing w:beforeAutospacing="0" w:afterAutospacing="0" w:line="0" w:lineRule="atLeast"/>
        <w:ind w:firstLine="480"/>
        <w:jc w:val="both"/>
        <w:rPr>
          <w:color w:val="auto"/>
          <w:highlight w:val="none"/>
        </w:rPr>
      </w:pPr>
    </w:p>
    <w:p w14:paraId="5C0277AB">
      <w:pPr>
        <w:pStyle w:val="32"/>
        <w:spacing w:beforeAutospacing="0" w:afterAutospacing="0" w:line="0" w:lineRule="atLeast"/>
        <w:ind w:firstLine="480"/>
        <w:jc w:val="both"/>
        <w:rPr>
          <w:color w:val="auto"/>
          <w:highlight w:val="none"/>
        </w:rPr>
      </w:pPr>
    </w:p>
    <w:p w14:paraId="0374B928">
      <w:pPr>
        <w:pStyle w:val="32"/>
        <w:spacing w:beforeAutospacing="0" w:afterAutospacing="0" w:line="0" w:lineRule="atLeast"/>
        <w:ind w:firstLine="480"/>
        <w:jc w:val="both"/>
        <w:rPr>
          <w:color w:val="auto"/>
          <w:highlight w:val="none"/>
          <w:shd w:val="clear" w:color="auto" w:fill="auto"/>
        </w:rPr>
      </w:pPr>
    </w:p>
    <w:p w14:paraId="56A8E4D2">
      <w:pPr>
        <w:pStyle w:val="32"/>
        <w:spacing w:beforeAutospacing="0" w:afterAutospacing="0" w:line="0" w:lineRule="atLeast"/>
        <w:ind w:firstLine="480"/>
        <w:jc w:val="both"/>
        <w:rPr>
          <w:color w:val="auto"/>
          <w:highlight w:val="none"/>
          <w:shd w:val="clear" w:color="auto" w:fill="auto"/>
        </w:rPr>
      </w:pPr>
    </w:p>
    <w:p w14:paraId="25659211">
      <w:pPr>
        <w:pStyle w:val="32"/>
        <w:spacing w:beforeAutospacing="0" w:afterAutospacing="0" w:line="0" w:lineRule="atLeast"/>
        <w:ind w:firstLine="480"/>
        <w:jc w:val="both"/>
        <w:rPr>
          <w:color w:val="auto"/>
          <w:highlight w:val="none"/>
          <w:shd w:val="clear" w:color="auto" w:fill="auto"/>
        </w:rPr>
      </w:pPr>
    </w:p>
    <w:p w14:paraId="490FB9AD">
      <w:pPr>
        <w:pStyle w:val="32"/>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474DCF1A">
      <w:pPr>
        <w:pStyle w:val="32"/>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一、法人或者其他组织的营业执照等证明文件，自然人的身份证明</w:t>
      </w:r>
    </w:p>
    <w:p w14:paraId="0C4F12F4">
      <w:pPr>
        <w:pStyle w:val="32"/>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1D364BEB">
      <w:pPr>
        <w:pStyle w:val="32"/>
        <w:spacing w:beforeAutospacing="0" w:afterAutospacing="0"/>
        <w:jc w:val="both"/>
        <w:rPr>
          <w:rFonts w:hint="eastAsia" w:ascii="黑体" w:hAnsi="宋体" w:eastAsia="黑体" w:cs="黑体"/>
          <w:i/>
          <w:color w:val="auto"/>
          <w:sz w:val="32"/>
          <w:szCs w:val="32"/>
          <w:highlight w:val="none"/>
          <w:u w:val="single"/>
          <w:shd w:val="clear" w:color="auto" w:fill="auto"/>
          <w:lang w:val="en-US" w:eastAsia="zh-CN"/>
        </w:rPr>
      </w:pPr>
      <w:r>
        <w:rPr>
          <w:rFonts w:hint="eastAsia" w:ascii="黑体" w:hAnsi="宋体" w:eastAsia="黑体" w:cs="黑体"/>
          <w:i/>
          <w:color w:val="auto"/>
          <w:sz w:val="32"/>
          <w:szCs w:val="32"/>
          <w:highlight w:val="none"/>
          <w:u w:val="single"/>
          <w:shd w:val="clear" w:color="auto" w:fill="auto"/>
        </w:rPr>
        <w:t>二、</w:t>
      </w:r>
      <w:r>
        <w:rPr>
          <w:rFonts w:hint="eastAsia" w:ascii="黑体" w:hAnsi="宋体" w:eastAsia="黑体" w:cs="黑体"/>
          <w:i/>
          <w:color w:val="auto"/>
          <w:sz w:val="32"/>
          <w:szCs w:val="32"/>
          <w:highlight w:val="none"/>
          <w:u w:val="single"/>
          <w:shd w:val="clear" w:color="auto" w:fill="auto"/>
          <w:lang w:val="en-US" w:eastAsia="zh-CN"/>
        </w:rPr>
        <w:t>上一年度的财务状况报表</w:t>
      </w:r>
    </w:p>
    <w:p w14:paraId="4826C924">
      <w:pPr>
        <w:tabs>
          <w:tab w:val="left" w:pos="1331"/>
        </w:tabs>
        <w:ind w:firstLine="480"/>
        <w:jc w:val="left"/>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（至少提供资产负债表、利润表、现金流量表，磋商供应商成立不满一年无需提供）</w:t>
      </w:r>
    </w:p>
    <w:p w14:paraId="0399B6FC">
      <w:pPr>
        <w:pStyle w:val="32"/>
        <w:spacing w:beforeAutospacing="0" w:afterAutospacing="0"/>
        <w:jc w:val="both"/>
        <w:rPr>
          <w:color w:val="auto"/>
          <w:highlight w:val="none"/>
          <w:shd w:val="clear" w:color="auto" w:fill="auto"/>
        </w:rPr>
      </w:pPr>
      <w:r>
        <w:rPr>
          <w:color w:val="auto"/>
          <w:highlight w:val="none"/>
          <w:shd w:val="clear" w:color="auto" w:fill="auto"/>
        </w:rPr>
        <w:t> </w:t>
      </w:r>
    </w:p>
    <w:p w14:paraId="72076D75">
      <w:pPr>
        <w:pStyle w:val="32"/>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三</w:t>
      </w:r>
      <w:r>
        <w:rPr>
          <w:rFonts w:hint="eastAsia" w:ascii="黑体" w:hAnsi="宋体" w:eastAsia="黑体" w:cs="黑体"/>
          <w:i/>
          <w:color w:val="auto"/>
          <w:sz w:val="32"/>
          <w:szCs w:val="32"/>
          <w:highlight w:val="none"/>
          <w:u w:val="single"/>
          <w:shd w:val="clear" w:color="auto" w:fill="auto"/>
        </w:rPr>
        <w:t>、具备履行合同所必需的设备和专业技术能力的书面声明</w:t>
      </w:r>
    </w:p>
    <w:p w14:paraId="12590866">
      <w:pPr>
        <w:pStyle w:val="32"/>
        <w:spacing w:beforeAutospacing="0" w:afterAutospacing="0" w:line="0" w:lineRule="atLeast"/>
        <w:ind w:firstLine="492"/>
        <w:jc w:val="both"/>
        <w:rPr>
          <w:color w:val="auto"/>
          <w:highlight w:val="none"/>
          <w:shd w:val="clear" w:color="auto" w:fill="auto"/>
        </w:rPr>
      </w:pPr>
      <w:r>
        <w:rPr>
          <w:rFonts w:hint="eastAsia" w:ascii="宋体" w:hAnsi="宋体" w:eastAsia="宋体" w:cs="宋体"/>
          <w:color w:val="auto"/>
          <w:highlight w:val="none"/>
          <w:shd w:val="clear" w:color="auto" w:fill="auto"/>
        </w:rPr>
        <w:t>我单位郑重声明：我单位具备履行本项采购合同所必需的设备和专业技术能力，为履行本项采购合同我公司具备如下主要设备和主要专业技术能力：</w:t>
      </w:r>
    </w:p>
    <w:p w14:paraId="49460698">
      <w:pPr>
        <w:pStyle w:val="32"/>
        <w:spacing w:beforeAutospacing="0" w:afterAutospacing="0" w:line="0" w:lineRule="atLeast"/>
        <w:ind w:firstLine="492"/>
        <w:jc w:val="both"/>
        <w:rPr>
          <w:color w:val="auto"/>
          <w:highlight w:val="none"/>
          <w:shd w:val="clear" w:color="auto" w:fill="auto"/>
        </w:rPr>
      </w:pPr>
      <w:r>
        <w:rPr>
          <w:rFonts w:hint="eastAsia" w:ascii="宋体" w:hAnsi="宋体" w:eastAsia="宋体" w:cs="宋体"/>
          <w:color w:val="auto"/>
          <w:highlight w:val="none"/>
          <w:shd w:val="clear" w:color="auto" w:fill="auto"/>
        </w:rPr>
        <w:t>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w:t>
      </w:r>
    </w:p>
    <w:p w14:paraId="0D2E11B7">
      <w:pPr>
        <w:pStyle w:val="32"/>
        <w:spacing w:beforeAutospacing="0" w:afterAutospacing="0"/>
        <w:ind w:firstLine="48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w:t>
      </w:r>
    </w:p>
    <w:p w14:paraId="7625A108">
      <w:pPr>
        <w:pStyle w:val="32"/>
        <w:spacing w:beforeAutospacing="0" w:afterAutospacing="0"/>
        <w:jc w:val="both"/>
        <w:rPr>
          <w:rFonts w:hint="eastAsia" w:ascii="黑体" w:hAnsi="宋体" w:eastAsia="黑体" w:cs="黑体"/>
          <w:i/>
          <w:color w:val="auto"/>
          <w:sz w:val="32"/>
          <w:szCs w:val="32"/>
          <w:highlight w:val="none"/>
          <w:u w:val="single"/>
          <w:shd w:val="clear" w:color="auto" w:fill="auto"/>
          <w:lang w:val="en-US" w:eastAsia="zh-CN"/>
        </w:rPr>
      </w:pPr>
    </w:p>
    <w:p w14:paraId="20C1B3B9">
      <w:pPr>
        <w:pStyle w:val="32"/>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四</w:t>
      </w:r>
      <w:r>
        <w:rPr>
          <w:rFonts w:hint="eastAsia" w:ascii="黑体" w:hAnsi="宋体" w:eastAsia="黑体" w:cs="黑体"/>
          <w:i/>
          <w:color w:val="auto"/>
          <w:sz w:val="32"/>
          <w:szCs w:val="32"/>
          <w:highlight w:val="none"/>
          <w:u w:val="single"/>
          <w:shd w:val="clear" w:color="auto" w:fill="auto"/>
        </w:rPr>
        <w:t>、依法缴纳税收和社会保障资金的相关材料</w:t>
      </w:r>
    </w:p>
    <w:p w14:paraId="7EC713AE">
      <w:pPr>
        <w:pStyle w:val="32"/>
        <w:spacing w:beforeAutospacing="0" w:afterAutospacing="0"/>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提供提交响应文件截止时间前一年内至少一个月依法缴纳税收及缴纳社会保障资金的证明材料。供应商依法享受缓缴、免缴税收、社会保障资金的提供证明材料。</w:t>
      </w:r>
    </w:p>
    <w:p w14:paraId="222AC255">
      <w:pPr>
        <w:pStyle w:val="32"/>
        <w:spacing w:beforeAutospacing="0" w:afterAutospacing="0" w:line="0" w:lineRule="atLeast"/>
        <w:jc w:val="both"/>
        <w:rPr>
          <w:color w:val="auto"/>
          <w:highlight w:val="none"/>
          <w:shd w:val="clear" w:color="auto" w:fill="auto"/>
        </w:rPr>
      </w:pPr>
      <w:r>
        <w:rPr>
          <w:rFonts w:hint="eastAsia" w:ascii="宋体" w:hAnsi="宋体" w:eastAsia="宋体" w:cs="宋体"/>
          <w:color w:val="auto"/>
          <w:highlight w:val="none"/>
          <w:shd w:val="clear" w:color="auto" w:fill="auto"/>
        </w:rPr>
        <w:t xml:space="preserve">               </w:t>
      </w:r>
    </w:p>
    <w:p w14:paraId="7CB0925C">
      <w:pPr>
        <w:pStyle w:val="32"/>
        <w:spacing w:beforeAutospacing="0" w:afterAutospacing="0"/>
        <w:jc w:val="both"/>
        <w:rPr>
          <w:color w:val="auto"/>
          <w:highlight w:val="none"/>
          <w:shd w:val="clear" w:color="auto" w:fill="auto"/>
        </w:rPr>
      </w:pPr>
      <w:r>
        <w:rPr>
          <w:color w:val="auto"/>
          <w:highlight w:val="none"/>
          <w:shd w:val="clear" w:color="auto" w:fill="auto"/>
        </w:rPr>
        <w:t> </w:t>
      </w:r>
    </w:p>
    <w:p w14:paraId="153ABE66">
      <w:pPr>
        <w:pStyle w:val="32"/>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五、参加政府采购活动前 3 年内在经营活动中没有重大违法记录的书面声明</w:t>
      </w:r>
    </w:p>
    <w:p w14:paraId="0A044B92">
      <w:pPr>
        <w:pStyle w:val="32"/>
        <w:spacing w:beforeAutospacing="0" w:afterAutospacing="0" w:line="0" w:lineRule="atLeast"/>
        <w:jc w:val="center"/>
        <w:rPr>
          <w:color w:val="auto"/>
          <w:highlight w:val="none"/>
          <w:shd w:val="clear" w:color="auto" w:fill="auto"/>
        </w:rPr>
      </w:pPr>
      <w:r>
        <w:rPr>
          <w:rFonts w:hint="eastAsia" w:ascii="宋体" w:hAnsi="宋体" w:eastAsia="宋体" w:cs="宋体"/>
          <w:b/>
          <w:color w:val="auto"/>
          <w:sz w:val="44"/>
          <w:szCs w:val="44"/>
          <w:highlight w:val="none"/>
          <w:shd w:val="clear" w:color="auto" w:fill="auto"/>
        </w:rPr>
        <w:t>声  明</w:t>
      </w:r>
    </w:p>
    <w:p w14:paraId="7F30730C">
      <w:pPr>
        <w:pStyle w:val="32"/>
        <w:spacing w:beforeAutospacing="0" w:afterAutospacing="0" w:line="0" w:lineRule="atLeast"/>
        <w:jc w:val="both"/>
        <w:rPr>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我单位郑重声明：参加本次政府采购活动前 3 年内，我单位在经营活动中没有因违法经营受到刑事处罚或者责令停产停业、吊销许可证或者执照、较大数额罚款等行政处罚。</w:t>
      </w:r>
    </w:p>
    <w:p w14:paraId="3BF49A23">
      <w:pPr>
        <w:pStyle w:val="32"/>
        <w:spacing w:beforeAutospacing="0" w:afterAutospacing="0"/>
        <w:jc w:val="both"/>
        <w:rPr>
          <w:color w:val="auto"/>
          <w:highlight w:val="none"/>
          <w:shd w:val="clear" w:color="auto" w:fill="auto"/>
        </w:rPr>
      </w:pPr>
      <w:r>
        <w:rPr>
          <w:color w:val="auto"/>
          <w:highlight w:val="none"/>
          <w:shd w:val="clear" w:color="auto" w:fill="auto"/>
        </w:rPr>
        <w:t> </w:t>
      </w:r>
    </w:p>
    <w:p w14:paraId="3ACF75E1">
      <w:pPr>
        <w:pStyle w:val="32"/>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六、特定资格要求的证明文件</w:t>
      </w:r>
    </w:p>
    <w:p w14:paraId="673A853C">
      <w:pPr>
        <w:pStyle w:val="32"/>
        <w:spacing w:beforeAutospacing="0" w:afterAutospacing="0" w:line="0" w:lineRule="atLeast"/>
        <w:jc w:val="both"/>
        <w:rPr>
          <w:color w:val="auto"/>
          <w:highlight w:val="none"/>
          <w:shd w:val="clear" w:color="auto" w:fill="auto"/>
        </w:rPr>
      </w:pPr>
      <w:r>
        <w:rPr>
          <w:rFonts w:hint="eastAsia" w:ascii="宋体" w:hAnsi="宋体" w:eastAsia="宋体" w:cs="宋体"/>
          <w:color w:val="auto"/>
          <w:highlight w:val="none"/>
          <w:shd w:val="clear" w:color="auto" w:fill="auto"/>
        </w:rPr>
        <w:t>   如果本项目申请人的特定资格要求中要求提供的，必须提供。</w:t>
      </w:r>
    </w:p>
    <w:p w14:paraId="54464373">
      <w:pPr>
        <w:pStyle w:val="32"/>
        <w:spacing w:beforeAutospacing="0" w:afterAutospacing="0"/>
        <w:jc w:val="center"/>
        <w:rPr>
          <w:rFonts w:ascii="黑体" w:hAnsi="宋体" w:eastAsia="黑体" w:cs="黑体"/>
          <w:i/>
          <w:color w:val="auto"/>
          <w:sz w:val="32"/>
          <w:szCs w:val="32"/>
          <w:highlight w:val="none"/>
          <w:u w:val="single"/>
          <w:shd w:val="clear" w:color="auto" w:fill="auto"/>
        </w:rPr>
      </w:pPr>
      <w:bookmarkStart w:id="151" w:name="_Toc120614284"/>
    </w:p>
    <w:p w14:paraId="144139D5">
      <w:pPr>
        <w:pStyle w:val="32"/>
        <w:spacing w:beforeAutospacing="0" w:afterAutospacing="0"/>
        <w:jc w:val="center"/>
        <w:rPr>
          <w:rFonts w:ascii="黑体" w:hAnsi="宋体" w:eastAsia="黑体" w:cs="黑体"/>
          <w:i/>
          <w:color w:val="auto"/>
          <w:sz w:val="32"/>
          <w:szCs w:val="32"/>
          <w:highlight w:val="none"/>
          <w:u w:val="single"/>
          <w:shd w:val="clear" w:color="auto" w:fill="auto"/>
        </w:rPr>
      </w:pPr>
    </w:p>
    <w:p w14:paraId="744E4C6E">
      <w:pPr>
        <w:pStyle w:val="32"/>
        <w:spacing w:beforeAutospacing="0" w:afterAutospacing="0"/>
        <w:jc w:val="both"/>
        <w:rPr>
          <w:rFonts w:ascii="黑体" w:hAnsi="宋体" w:eastAsia="黑体" w:cs="黑体"/>
          <w:bCs/>
          <w:i/>
          <w:color w:val="auto"/>
          <w:sz w:val="32"/>
          <w:szCs w:val="32"/>
          <w:highlight w:val="none"/>
          <w:u w:val="single"/>
        </w:rPr>
      </w:pPr>
    </w:p>
    <w:p w14:paraId="16ACBF2B">
      <w:pPr>
        <w:pStyle w:val="32"/>
        <w:spacing w:beforeAutospacing="0" w:afterAutospacing="0"/>
        <w:jc w:val="both"/>
        <w:rPr>
          <w:rFonts w:ascii="黑体" w:hAnsi="宋体" w:eastAsia="黑体" w:cs="黑体"/>
          <w:bCs/>
          <w:i/>
          <w:color w:val="auto"/>
          <w:sz w:val="32"/>
          <w:szCs w:val="32"/>
          <w:highlight w:val="none"/>
          <w:u w:val="single"/>
        </w:rPr>
      </w:pPr>
    </w:p>
    <w:p w14:paraId="219E4E2D">
      <w:pPr>
        <w:pStyle w:val="32"/>
        <w:spacing w:beforeAutospacing="0" w:afterAutospacing="0"/>
        <w:jc w:val="both"/>
        <w:rPr>
          <w:rFonts w:ascii="黑体" w:hAnsi="宋体" w:eastAsia="黑体" w:cs="黑体"/>
          <w:bCs/>
          <w:i/>
          <w:color w:val="auto"/>
          <w:sz w:val="32"/>
          <w:szCs w:val="32"/>
          <w:highlight w:val="none"/>
          <w:u w:val="single"/>
        </w:rPr>
      </w:pPr>
    </w:p>
    <w:p w14:paraId="33A8BD24">
      <w:pPr>
        <w:pStyle w:val="32"/>
        <w:spacing w:beforeAutospacing="0" w:afterAutospacing="0"/>
        <w:jc w:val="both"/>
        <w:rPr>
          <w:rFonts w:ascii="黑体" w:hAnsi="宋体" w:eastAsia="黑体" w:cs="黑体"/>
          <w:bCs/>
          <w:i/>
          <w:color w:val="auto"/>
          <w:sz w:val="32"/>
          <w:szCs w:val="32"/>
          <w:highlight w:val="none"/>
          <w:u w:val="single"/>
        </w:rPr>
      </w:pPr>
    </w:p>
    <w:p w14:paraId="102DEEDD">
      <w:pPr>
        <w:pStyle w:val="32"/>
        <w:spacing w:beforeAutospacing="0" w:afterAutospacing="0"/>
        <w:jc w:val="both"/>
        <w:rPr>
          <w:rFonts w:ascii="黑体" w:hAnsi="宋体" w:eastAsia="黑体" w:cs="黑体"/>
          <w:bCs/>
          <w:i/>
          <w:color w:val="auto"/>
          <w:sz w:val="32"/>
          <w:szCs w:val="32"/>
          <w:highlight w:val="none"/>
          <w:u w:val="single"/>
        </w:rPr>
      </w:pPr>
    </w:p>
    <w:p w14:paraId="217107D7">
      <w:pPr>
        <w:pStyle w:val="32"/>
        <w:spacing w:beforeAutospacing="0" w:afterAutospacing="0"/>
        <w:jc w:val="both"/>
        <w:rPr>
          <w:rFonts w:ascii="黑体" w:hAnsi="宋体" w:eastAsia="黑体" w:cs="黑体"/>
          <w:bCs/>
          <w:i/>
          <w:color w:val="auto"/>
          <w:sz w:val="32"/>
          <w:szCs w:val="32"/>
          <w:highlight w:val="none"/>
          <w:u w:val="single"/>
        </w:rPr>
      </w:pPr>
    </w:p>
    <w:p w14:paraId="4C0E58E3">
      <w:pPr>
        <w:pStyle w:val="32"/>
        <w:spacing w:beforeAutospacing="0" w:afterAutospacing="0"/>
        <w:jc w:val="both"/>
        <w:rPr>
          <w:rFonts w:ascii="黑体" w:hAnsi="宋体" w:eastAsia="黑体" w:cs="黑体"/>
          <w:bCs/>
          <w:i/>
          <w:color w:val="auto"/>
          <w:sz w:val="32"/>
          <w:szCs w:val="32"/>
          <w:highlight w:val="none"/>
          <w:u w:val="single"/>
        </w:rPr>
      </w:pPr>
    </w:p>
    <w:p w14:paraId="1B57557D">
      <w:pPr>
        <w:pStyle w:val="32"/>
        <w:spacing w:beforeAutospacing="0" w:afterAutospacing="0"/>
        <w:jc w:val="left"/>
        <w:rPr>
          <w:rFonts w:hint="eastAsia" w:ascii="黑体" w:hAnsi="宋体" w:eastAsia="黑体" w:cs="黑体"/>
          <w:i/>
          <w:color w:val="auto"/>
          <w:sz w:val="32"/>
          <w:szCs w:val="32"/>
          <w:highlight w:val="none"/>
          <w:u w:val="single"/>
          <w:shd w:val="clear" w:color="auto" w:fill="auto"/>
        </w:rPr>
      </w:pPr>
    </w:p>
    <w:p w14:paraId="6DE0D80C">
      <w:pPr>
        <w:pStyle w:val="32"/>
        <w:spacing w:beforeAutospacing="0" w:afterAutospacing="0"/>
        <w:jc w:val="center"/>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七、法人授权书</w:t>
      </w:r>
    </w:p>
    <w:p w14:paraId="0D8D1FB2">
      <w:pPr>
        <w:pStyle w:val="32"/>
        <w:keepNext w:val="0"/>
        <w:keepLines w:val="0"/>
        <w:pageBreakBefore w:val="0"/>
        <w:widowControl w:val="0"/>
        <w:tabs>
          <w:tab w:val="left" w:pos="360"/>
        </w:tabs>
        <w:spacing w:beforeAutospacing="0" w:afterAutospacing="0" w:line="500" w:lineRule="exact"/>
        <w:ind w:firstLine="480"/>
        <w:jc w:val="both"/>
        <w:rPr>
          <w:color w:val="auto"/>
          <w:highlight w:val="none"/>
          <w:shd w:val="clear" w:color="auto" w:fill="auto"/>
        </w:rPr>
      </w:pPr>
      <w:r>
        <w:rPr>
          <w:rFonts w:ascii="Times New Roman" w:hAnsi="Times New Roman"/>
          <w:color w:val="auto"/>
          <w:highlight w:val="none"/>
          <w:shd w:val="clear" w:color="auto" w:fill="auto"/>
        </w:rPr>
        <w:t>本授权书声明：____________（供应商名称）授权________________（被授权人的姓名）为我方就</w:t>
      </w:r>
      <w:r>
        <w:rPr>
          <w:rFonts w:hint="eastAsia" w:ascii="Times New Roman" w:hAnsi="Times New Roman"/>
          <w:color w:val="auto"/>
          <w:highlight w:val="none"/>
          <w:shd w:val="clear" w:color="auto" w:fill="auto"/>
        </w:rPr>
        <w:t>JSZC-320924-JZCG-C2026-0016</w:t>
      </w:r>
      <w:r>
        <w:rPr>
          <w:rFonts w:ascii="Times New Roman" w:hAnsi="Times New Roman"/>
          <w:color w:val="auto"/>
          <w:highlight w:val="none"/>
          <w:u w:val="single"/>
          <w:shd w:val="clear" w:color="auto" w:fill="auto"/>
        </w:rPr>
        <w:t xml:space="preserve">  </w:t>
      </w:r>
      <w:r>
        <w:rPr>
          <w:rFonts w:ascii="Times New Roman" w:hAnsi="Times New Roman"/>
          <w:color w:val="auto"/>
          <w:highlight w:val="none"/>
          <w:shd w:val="clear" w:color="auto" w:fill="auto"/>
        </w:rPr>
        <w:t>号项目采购活动的合法代理人，以本单位名义全权处理一切与该项目采购有关的事务。</w:t>
      </w:r>
    </w:p>
    <w:p w14:paraId="045CDF22">
      <w:pPr>
        <w:pStyle w:val="32"/>
        <w:keepNext w:val="0"/>
        <w:keepLines w:val="0"/>
        <w:pageBreakBefore w:val="0"/>
        <w:widowControl w:val="0"/>
        <w:tabs>
          <w:tab w:val="left" w:pos="360"/>
        </w:tabs>
        <w:spacing w:beforeAutospacing="0" w:afterAutospacing="0" w:line="500" w:lineRule="exact"/>
        <w:ind w:firstLine="480"/>
        <w:jc w:val="both"/>
        <w:rPr>
          <w:color w:val="auto"/>
          <w:highlight w:val="none"/>
          <w:shd w:val="clear" w:color="auto" w:fill="auto"/>
        </w:rPr>
      </w:pPr>
      <w:r>
        <w:rPr>
          <w:rFonts w:ascii="Times New Roman" w:hAnsi="Times New Roman"/>
          <w:color w:val="auto"/>
          <w:highlight w:val="none"/>
          <w:shd w:val="clear" w:color="auto" w:fill="auto"/>
        </w:rPr>
        <w:t>本授权书于______年____月____日起生效，特此声明。</w:t>
      </w:r>
    </w:p>
    <w:p w14:paraId="10168654">
      <w:pPr>
        <w:pStyle w:val="32"/>
        <w:keepNext w:val="0"/>
        <w:keepLines w:val="0"/>
        <w:pageBreakBefore w:val="0"/>
        <w:widowControl w:val="0"/>
        <w:tabs>
          <w:tab w:val="left" w:pos="360"/>
        </w:tabs>
        <w:spacing w:beforeAutospacing="0" w:afterAutospacing="0" w:line="500" w:lineRule="exact"/>
        <w:jc w:val="both"/>
        <w:rPr>
          <w:color w:val="auto"/>
          <w:highlight w:val="none"/>
          <w:shd w:val="clear" w:color="auto" w:fill="auto"/>
        </w:rPr>
      </w:pPr>
      <w:r>
        <w:rPr>
          <w:rFonts w:ascii="Times New Roman" w:hAnsi="Times New Roman"/>
          <w:color w:val="auto"/>
          <w:highlight w:val="none"/>
          <w:shd w:val="clear" w:color="auto" w:fill="auto"/>
        </w:rPr>
        <w:t>        被授权人身份证号码：</w:t>
      </w:r>
      <w:r>
        <w:rPr>
          <w:rFonts w:ascii="Times New Roman" w:hAnsi="Times New Roman"/>
          <w:color w:val="auto"/>
          <w:highlight w:val="none"/>
          <w:u w:val="single"/>
          <w:shd w:val="clear" w:color="auto" w:fill="auto"/>
        </w:rPr>
        <w:t xml:space="preserve">                              </w:t>
      </w:r>
    </w:p>
    <w:p w14:paraId="3A6B2E4D">
      <w:pPr>
        <w:pStyle w:val="32"/>
        <w:keepNext w:val="0"/>
        <w:keepLines w:val="0"/>
        <w:pageBreakBefore w:val="0"/>
        <w:widowControl w:val="0"/>
        <w:tabs>
          <w:tab w:val="left" w:pos="360"/>
        </w:tabs>
        <w:spacing w:beforeAutospacing="0" w:afterAutospacing="0" w:line="500" w:lineRule="exact"/>
        <w:jc w:val="both"/>
        <w:rPr>
          <w:color w:val="auto"/>
          <w:highlight w:val="none"/>
          <w:shd w:val="clear" w:color="auto" w:fill="auto"/>
        </w:rPr>
      </w:pPr>
      <w:r>
        <w:rPr>
          <w:rFonts w:ascii="Times New Roman" w:hAnsi="Times New Roman"/>
          <w:color w:val="auto"/>
          <w:highlight w:val="none"/>
          <w:shd w:val="clear" w:color="auto" w:fill="auto"/>
        </w:rPr>
        <w:t>        被授权人联系电话：（手机）</w:t>
      </w:r>
      <w:r>
        <w:rPr>
          <w:rFonts w:ascii="Times New Roman" w:hAnsi="Times New Roman"/>
          <w:color w:val="auto"/>
          <w:highlight w:val="none"/>
          <w:u w:val="single"/>
          <w:shd w:val="clear" w:color="auto" w:fill="auto"/>
        </w:rPr>
        <w:t xml:space="preserve">                          </w:t>
      </w:r>
    </w:p>
    <w:p w14:paraId="64C3ADF7">
      <w:pPr>
        <w:pStyle w:val="32"/>
        <w:keepNext w:val="0"/>
        <w:keepLines w:val="0"/>
        <w:pageBreakBefore w:val="0"/>
        <w:widowControl w:val="0"/>
        <w:tabs>
          <w:tab w:val="left" w:pos="360"/>
        </w:tabs>
        <w:spacing w:beforeAutospacing="0" w:afterAutospacing="0" w:line="500" w:lineRule="exact"/>
        <w:ind w:firstLine="480"/>
        <w:jc w:val="both"/>
        <w:rPr>
          <w:color w:val="auto"/>
          <w:highlight w:val="none"/>
          <w:shd w:val="clear" w:color="auto" w:fill="auto"/>
        </w:rPr>
      </w:pPr>
      <w:r>
        <w:rPr>
          <w:rFonts w:ascii="Times New Roman" w:hAnsi="Times New Roman"/>
          <w:color w:val="auto"/>
          <w:highlight w:val="none"/>
          <w:shd w:val="clear" w:color="auto" w:fill="auto"/>
        </w:rPr>
        <w:t>授权单位名称：</w:t>
      </w:r>
      <w:r>
        <w:rPr>
          <w:rFonts w:ascii="Times New Roman" w:hAnsi="Times New Roman"/>
          <w:color w:val="auto"/>
          <w:highlight w:val="none"/>
          <w:u w:val="single"/>
          <w:shd w:val="clear" w:color="auto" w:fill="auto"/>
        </w:rPr>
        <w:t>（加盖CA电子公章）</w:t>
      </w:r>
    </w:p>
    <w:p w14:paraId="5B472448">
      <w:pPr>
        <w:pStyle w:val="32"/>
        <w:keepNext w:val="0"/>
        <w:keepLines w:val="0"/>
        <w:pageBreakBefore w:val="0"/>
        <w:widowControl w:val="0"/>
        <w:tabs>
          <w:tab w:val="left" w:pos="360"/>
        </w:tabs>
        <w:spacing w:beforeAutospacing="0" w:afterAutospacing="0" w:line="500" w:lineRule="exact"/>
        <w:ind w:firstLine="480"/>
        <w:jc w:val="both"/>
        <w:rPr>
          <w:color w:val="auto"/>
          <w:highlight w:val="none"/>
          <w:shd w:val="clear" w:color="auto" w:fill="auto"/>
        </w:rPr>
      </w:pPr>
      <w:r>
        <w:rPr>
          <w:rFonts w:ascii="Times New Roman" w:hAnsi="Times New Roman"/>
          <w:color w:val="auto"/>
          <w:highlight w:val="none"/>
          <w:shd w:val="clear" w:color="auto" w:fill="auto"/>
        </w:rPr>
        <w:t> 单位地址：</w:t>
      </w:r>
      <w:r>
        <w:rPr>
          <w:rFonts w:ascii="Times New Roman" w:hAnsi="Times New Roman"/>
          <w:color w:val="auto"/>
          <w:highlight w:val="none"/>
          <w:u w:val="single"/>
          <w:shd w:val="clear" w:color="auto" w:fill="auto"/>
        </w:rPr>
        <w:t xml:space="preserve">                                         </w:t>
      </w:r>
    </w:p>
    <w:p w14:paraId="3238DF44">
      <w:pPr>
        <w:pStyle w:val="32"/>
        <w:keepNext w:val="0"/>
        <w:keepLines w:val="0"/>
        <w:pageBreakBefore w:val="0"/>
        <w:widowControl w:val="0"/>
        <w:tabs>
          <w:tab w:val="left" w:pos="360"/>
        </w:tabs>
        <w:spacing w:beforeAutospacing="0" w:afterAutospacing="0" w:line="500" w:lineRule="exact"/>
        <w:ind w:firstLine="480"/>
        <w:jc w:val="both"/>
        <w:rPr>
          <w:rFonts w:ascii="Times New Roman" w:hAnsi="Times New Roman"/>
          <w:color w:val="auto"/>
          <w:highlight w:val="none"/>
          <w:u w:val="single"/>
          <w:shd w:val="clear" w:color="auto" w:fill="auto"/>
        </w:rPr>
      </w:pPr>
      <w:r>
        <w:rPr>
          <w:rFonts w:ascii="Times New Roman" w:hAnsi="Times New Roman"/>
          <w:color w:val="auto"/>
          <w:highlight w:val="none"/>
          <w:shd w:val="clear" w:color="auto" w:fill="auto"/>
        </w:rPr>
        <w:t> 日期：</w:t>
      </w:r>
      <w:bookmarkStart w:id="152" w:name="_格式3__银行出具的资信证明"/>
      <w:bookmarkStart w:id="153" w:name="_Hlt26671380"/>
      <w:bookmarkStart w:id="154" w:name="_Hlt26955070"/>
      <w:r>
        <w:rPr>
          <w:rFonts w:ascii="Times New Roman" w:hAnsi="Times New Roman"/>
          <w:color w:val="auto"/>
          <w:highlight w:val="none"/>
          <w:u w:val="single"/>
          <w:shd w:val="clear" w:color="auto" w:fill="auto"/>
        </w:rPr>
        <w:t xml:space="preserve">                                         </w:t>
      </w:r>
    </w:p>
    <w:p w14:paraId="1D34D712">
      <w:pPr>
        <w:pStyle w:val="32"/>
        <w:keepNext w:val="0"/>
        <w:keepLines w:val="0"/>
        <w:pageBreakBefore w:val="0"/>
        <w:widowControl w:val="0"/>
        <w:tabs>
          <w:tab w:val="left" w:pos="360"/>
        </w:tabs>
        <w:spacing w:beforeAutospacing="0" w:afterAutospacing="0" w:line="500" w:lineRule="exact"/>
        <w:ind w:firstLine="480"/>
        <w:jc w:val="both"/>
        <w:rPr>
          <w:rFonts w:ascii="Times New Roman" w:hAnsi="Times New Roman"/>
          <w:color w:val="auto"/>
          <w:highlight w:val="none"/>
          <w:u w:val="single"/>
          <w:shd w:val="clear" w:color="auto" w:fill="auto"/>
        </w:rPr>
      </w:pPr>
    </w:p>
    <w:p w14:paraId="579E8007">
      <w:pPr>
        <w:pStyle w:val="32"/>
        <w:keepNext w:val="0"/>
        <w:keepLines w:val="0"/>
        <w:pageBreakBefore w:val="0"/>
        <w:widowControl w:val="0"/>
        <w:tabs>
          <w:tab w:val="left" w:pos="360"/>
        </w:tabs>
        <w:spacing w:beforeAutospacing="0" w:afterAutospacing="0" w:line="500" w:lineRule="exact"/>
        <w:ind w:firstLine="480"/>
        <w:jc w:val="both"/>
        <w:rPr>
          <w:rFonts w:ascii="Times New Roman" w:hAnsi="Times New Roman"/>
          <w:color w:val="auto"/>
          <w:highlight w:val="none"/>
          <w:u w:val="single"/>
          <w:shd w:val="clear" w:color="auto" w:fill="auto"/>
        </w:rPr>
      </w:pPr>
    </w:p>
    <w:p w14:paraId="538186D9">
      <w:pPr>
        <w:pStyle w:val="32"/>
        <w:keepNext w:val="0"/>
        <w:keepLines w:val="0"/>
        <w:pageBreakBefore w:val="0"/>
        <w:widowControl w:val="0"/>
        <w:tabs>
          <w:tab w:val="left" w:pos="360"/>
        </w:tabs>
        <w:spacing w:beforeAutospacing="0" w:afterAutospacing="0" w:line="500" w:lineRule="exact"/>
        <w:ind w:firstLine="480"/>
        <w:jc w:val="both"/>
        <w:rPr>
          <w:rFonts w:ascii="Times New Roman" w:hAnsi="Times New Roman"/>
          <w:color w:val="auto"/>
          <w:highlight w:val="none"/>
          <w:u w:val="single"/>
          <w:shd w:val="clear" w:color="auto" w:fill="auto"/>
        </w:rPr>
      </w:pPr>
    </w:p>
    <w:p w14:paraId="0B0E4ABF">
      <w:pPr>
        <w:pStyle w:val="32"/>
        <w:keepNext w:val="0"/>
        <w:keepLines w:val="0"/>
        <w:pageBreakBefore w:val="0"/>
        <w:widowControl w:val="0"/>
        <w:tabs>
          <w:tab w:val="left" w:pos="360"/>
        </w:tabs>
        <w:spacing w:beforeAutospacing="0" w:afterAutospacing="0" w:line="500" w:lineRule="exact"/>
        <w:ind w:firstLine="480"/>
        <w:jc w:val="both"/>
        <w:rPr>
          <w:rFonts w:ascii="Times New Roman" w:hAnsi="Times New Roman"/>
          <w:color w:val="auto"/>
          <w:highlight w:val="none"/>
          <w:u w:val="single"/>
          <w:shd w:val="clear" w:color="auto" w:fill="auto"/>
        </w:rPr>
      </w:pPr>
    </w:p>
    <w:p w14:paraId="791BF49D">
      <w:pPr>
        <w:pStyle w:val="32"/>
        <w:keepNext w:val="0"/>
        <w:keepLines w:val="0"/>
        <w:pageBreakBefore w:val="0"/>
        <w:widowControl w:val="0"/>
        <w:tabs>
          <w:tab w:val="left" w:pos="360"/>
        </w:tabs>
        <w:spacing w:beforeAutospacing="0" w:afterAutospacing="0" w:line="500" w:lineRule="exact"/>
        <w:ind w:firstLine="480"/>
        <w:jc w:val="both"/>
        <w:rPr>
          <w:rFonts w:ascii="Times New Roman" w:hAnsi="Times New Roman"/>
          <w:color w:val="auto"/>
          <w:highlight w:val="none"/>
          <w:u w:val="single"/>
          <w:shd w:val="clear" w:color="auto" w:fill="auto"/>
        </w:rPr>
      </w:pPr>
    </w:p>
    <w:p w14:paraId="706A8C8A">
      <w:pPr>
        <w:pStyle w:val="32"/>
        <w:keepNext w:val="0"/>
        <w:keepLines w:val="0"/>
        <w:pageBreakBefore w:val="0"/>
        <w:widowControl w:val="0"/>
        <w:tabs>
          <w:tab w:val="left" w:pos="360"/>
        </w:tabs>
        <w:spacing w:beforeAutospacing="0" w:afterAutospacing="0" w:line="500" w:lineRule="exact"/>
        <w:ind w:firstLine="480"/>
        <w:jc w:val="both"/>
        <w:rPr>
          <w:rFonts w:ascii="Times New Roman" w:hAnsi="Times New Roman"/>
          <w:color w:val="auto"/>
          <w:highlight w:val="none"/>
          <w:u w:val="single"/>
          <w:shd w:val="clear" w:color="auto" w:fill="auto"/>
        </w:rPr>
      </w:pPr>
    </w:p>
    <w:p w14:paraId="52FAE5F9">
      <w:pPr>
        <w:pStyle w:val="32"/>
        <w:keepNext w:val="0"/>
        <w:keepLines w:val="0"/>
        <w:pageBreakBefore w:val="0"/>
        <w:widowControl w:val="0"/>
        <w:tabs>
          <w:tab w:val="left" w:pos="360"/>
        </w:tabs>
        <w:spacing w:beforeAutospacing="0" w:afterAutospacing="0" w:line="500" w:lineRule="exact"/>
        <w:ind w:firstLine="480"/>
        <w:jc w:val="both"/>
        <w:rPr>
          <w:rFonts w:ascii="Times New Roman" w:hAnsi="Times New Roman"/>
          <w:color w:val="auto"/>
          <w:highlight w:val="none"/>
          <w:u w:val="single"/>
          <w:shd w:val="clear" w:color="auto" w:fill="auto"/>
        </w:rPr>
      </w:pPr>
    </w:p>
    <w:p w14:paraId="05F71C05">
      <w:pPr>
        <w:pStyle w:val="32"/>
        <w:keepNext w:val="0"/>
        <w:keepLines w:val="0"/>
        <w:pageBreakBefore w:val="0"/>
        <w:widowControl w:val="0"/>
        <w:tabs>
          <w:tab w:val="left" w:pos="360"/>
        </w:tabs>
        <w:spacing w:beforeAutospacing="0" w:afterAutospacing="0" w:line="500" w:lineRule="exact"/>
        <w:ind w:firstLine="480"/>
        <w:jc w:val="both"/>
        <w:rPr>
          <w:rFonts w:ascii="Times New Roman" w:hAnsi="Times New Roman"/>
          <w:color w:val="auto"/>
          <w:highlight w:val="none"/>
          <w:u w:val="single"/>
          <w:shd w:val="clear" w:color="auto" w:fill="auto"/>
        </w:rPr>
      </w:pPr>
    </w:p>
    <w:p w14:paraId="504531EC">
      <w:pPr>
        <w:pStyle w:val="32"/>
        <w:keepNext w:val="0"/>
        <w:keepLines w:val="0"/>
        <w:pageBreakBefore w:val="0"/>
        <w:widowControl w:val="0"/>
        <w:tabs>
          <w:tab w:val="left" w:pos="360"/>
        </w:tabs>
        <w:spacing w:beforeAutospacing="0" w:afterAutospacing="0" w:line="500" w:lineRule="exact"/>
        <w:ind w:firstLine="480"/>
        <w:jc w:val="both"/>
        <w:rPr>
          <w:rFonts w:ascii="Times New Roman" w:hAnsi="Times New Roman"/>
          <w:color w:val="auto"/>
          <w:highlight w:val="none"/>
          <w:u w:val="single"/>
          <w:shd w:val="clear" w:color="auto" w:fill="auto"/>
        </w:rPr>
      </w:pPr>
    </w:p>
    <w:p w14:paraId="64816362">
      <w:pPr>
        <w:pStyle w:val="32"/>
        <w:keepNext w:val="0"/>
        <w:keepLines w:val="0"/>
        <w:pageBreakBefore w:val="0"/>
        <w:widowControl w:val="0"/>
        <w:tabs>
          <w:tab w:val="left" w:pos="360"/>
        </w:tabs>
        <w:spacing w:beforeAutospacing="0" w:afterAutospacing="0" w:line="500" w:lineRule="exact"/>
        <w:ind w:firstLine="480"/>
        <w:jc w:val="both"/>
        <w:rPr>
          <w:rFonts w:ascii="Times New Roman" w:hAnsi="Times New Roman"/>
          <w:color w:val="auto"/>
          <w:highlight w:val="none"/>
          <w:u w:val="single"/>
          <w:shd w:val="clear" w:color="auto" w:fill="auto"/>
        </w:rPr>
      </w:pPr>
    </w:p>
    <w:p w14:paraId="787070BF">
      <w:pPr>
        <w:pStyle w:val="32"/>
        <w:keepNext w:val="0"/>
        <w:keepLines w:val="0"/>
        <w:pageBreakBefore w:val="0"/>
        <w:widowControl w:val="0"/>
        <w:tabs>
          <w:tab w:val="left" w:pos="360"/>
        </w:tabs>
        <w:spacing w:beforeAutospacing="0" w:afterAutospacing="0" w:line="500" w:lineRule="exact"/>
        <w:ind w:firstLine="480"/>
        <w:jc w:val="both"/>
        <w:rPr>
          <w:rFonts w:ascii="Times New Roman" w:hAnsi="Times New Roman"/>
          <w:color w:val="auto"/>
          <w:highlight w:val="none"/>
          <w:u w:val="single"/>
        </w:rPr>
      </w:pPr>
    </w:p>
    <w:p w14:paraId="340D21C8">
      <w:pPr>
        <w:pStyle w:val="32"/>
        <w:keepNext w:val="0"/>
        <w:keepLines w:val="0"/>
        <w:pageBreakBefore w:val="0"/>
        <w:widowControl w:val="0"/>
        <w:tabs>
          <w:tab w:val="left" w:pos="360"/>
        </w:tabs>
        <w:spacing w:beforeAutospacing="0" w:afterAutospacing="0" w:line="500" w:lineRule="exact"/>
        <w:ind w:firstLine="480"/>
        <w:jc w:val="both"/>
        <w:rPr>
          <w:rFonts w:ascii="Times New Roman" w:hAnsi="Times New Roman"/>
          <w:color w:val="auto"/>
          <w:highlight w:val="none"/>
          <w:u w:val="single"/>
        </w:rPr>
      </w:pPr>
    </w:p>
    <w:p w14:paraId="49829D2A">
      <w:pPr>
        <w:pStyle w:val="32"/>
        <w:keepNext w:val="0"/>
        <w:keepLines w:val="0"/>
        <w:pageBreakBefore w:val="0"/>
        <w:widowControl w:val="0"/>
        <w:tabs>
          <w:tab w:val="left" w:pos="360"/>
        </w:tabs>
        <w:spacing w:beforeAutospacing="0" w:afterAutospacing="0" w:line="500" w:lineRule="exact"/>
        <w:ind w:firstLine="480"/>
        <w:jc w:val="both"/>
        <w:rPr>
          <w:rFonts w:ascii="Times New Roman" w:hAnsi="Times New Roman"/>
          <w:color w:val="auto"/>
          <w:highlight w:val="none"/>
          <w:u w:val="single"/>
        </w:rPr>
      </w:pPr>
    </w:p>
    <w:p w14:paraId="77ED687E">
      <w:pPr>
        <w:pStyle w:val="32"/>
        <w:keepNext w:val="0"/>
        <w:keepLines w:val="0"/>
        <w:pageBreakBefore w:val="0"/>
        <w:widowControl w:val="0"/>
        <w:tabs>
          <w:tab w:val="left" w:pos="360"/>
        </w:tabs>
        <w:spacing w:beforeAutospacing="0" w:afterAutospacing="0" w:line="500" w:lineRule="exact"/>
        <w:ind w:firstLine="480"/>
        <w:jc w:val="both"/>
        <w:rPr>
          <w:rFonts w:ascii="Times New Roman" w:hAnsi="Times New Roman"/>
          <w:color w:val="auto"/>
          <w:highlight w:val="none"/>
          <w:u w:val="single"/>
        </w:rPr>
      </w:pPr>
    </w:p>
    <w:p w14:paraId="6D4A01BF">
      <w:pPr>
        <w:pStyle w:val="32"/>
        <w:keepNext w:val="0"/>
        <w:keepLines w:val="0"/>
        <w:pageBreakBefore w:val="0"/>
        <w:widowControl w:val="0"/>
        <w:tabs>
          <w:tab w:val="left" w:pos="360"/>
        </w:tabs>
        <w:spacing w:beforeAutospacing="0" w:afterAutospacing="0" w:line="500" w:lineRule="exact"/>
        <w:ind w:firstLine="480"/>
        <w:jc w:val="both"/>
        <w:rPr>
          <w:rFonts w:ascii="Times New Roman" w:hAnsi="Times New Roman"/>
          <w:color w:val="auto"/>
          <w:highlight w:val="none"/>
          <w:u w:val="single"/>
        </w:rPr>
      </w:pPr>
    </w:p>
    <w:p w14:paraId="03D150A9">
      <w:pPr>
        <w:pStyle w:val="32"/>
        <w:keepNext w:val="0"/>
        <w:keepLines w:val="0"/>
        <w:pageBreakBefore w:val="0"/>
        <w:widowControl w:val="0"/>
        <w:tabs>
          <w:tab w:val="left" w:pos="360"/>
        </w:tabs>
        <w:spacing w:beforeAutospacing="0" w:afterAutospacing="0" w:line="500" w:lineRule="exact"/>
        <w:ind w:firstLine="480"/>
        <w:jc w:val="both"/>
        <w:rPr>
          <w:rFonts w:ascii="Times New Roman" w:hAnsi="Times New Roman"/>
          <w:color w:val="auto"/>
          <w:highlight w:val="none"/>
          <w:u w:val="single"/>
        </w:rPr>
      </w:pPr>
    </w:p>
    <w:p w14:paraId="42017589">
      <w:pPr>
        <w:pStyle w:val="32"/>
        <w:keepNext w:val="0"/>
        <w:keepLines w:val="0"/>
        <w:pageBreakBefore w:val="0"/>
        <w:widowControl w:val="0"/>
        <w:tabs>
          <w:tab w:val="left" w:pos="360"/>
        </w:tabs>
        <w:spacing w:beforeAutospacing="0" w:afterAutospacing="0" w:line="500" w:lineRule="exact"/>
        <w:ind w:firstLine="480"/>
        <w:jc w:val="both"/>
        <w:rPr>
          <w:rFonts w:ascii="Times New Roman" w:hAnsi="Times New Roman"/>
          <w:color w:val="auto"/>
          <w:highlight w:val="none"/>
          <w:u w:val="single"/>
        </w:rPr>
      </w:pPr>
    </w:p>
    <w:p w14:paraId="29336B4E">
      <w:pPr>
        <w:pStyle w:val="32"/>
        <w:keepNext w:val="0"/>
        <w:keepLines w:val="0"/>
        <w:pageBreakBefore w:val="0"/>
        <w:widowControl w:val="0"/>
        <w:tabs>
          <w:tab w:val="left" w:pos="360"/>
        </w:tabs>
        <w:spacing w:beforeAutospacing="0" w:afterAutospacing="0" w:line="500" w:lineRule="exact"/>
        <w:ind w:firstLine="0"/>
        <w:jc w:val="both"/>
        <w:rPr>
          <w:rFonts w:ascii="Times New Roman" w:hAnsi="Times New Roman"/>
          <w:color w:val="auto"/>
          <w:highlight w:val="none"/>
          <w:u w:val="single"/>
          <w:shd w:val="clear" w:color="auto" w:fill="auto"/>
        </w:rPr>
      </w:pPr>
    </w:p>
    <w:p w14:paraId="5BD48FD4">
      <w:pPr>
        <w:pStyle w:val="32"/>
        <w:keepNext w:val="0"/>
        <w:keepLines w:val="0"/>
        <w:pageBreakBefore w:val="0"/>
        <w:widowControl w:val="0"/>
        <w:tabs>
          <w:tab w:val="left" w:pos="360"/>
        </w:tabs>
        <w:spacing w:beforeAutospacing="0" w:afterAutospacing="0" w:line="500" w:lineRule="exact"/>
        <w:ind w:firstLine="480"/>
        <w:jc w:val="center"/>
        <w:rPr>
          <w:color w:val="auto"/>
          <w:highlight w:val="none"/>
          <w:shd w:val="clear" w:color="auto" w:fill="auto"/>
        </w:rPr>
      </w:pPr>
      <w:r>
        <w:rPr>
          <w:rFonts w:hint="eastAsia" w:ascii="黑体" w:hAnsi="宋体" w:eastAsia="黑体" w:cs="黑体"/>
          <w:b/>
          <w:i/>
          <w:color w:val="auto"/>
          <w:sz w:val="32"/>
          <w:szCs w:val="32"/>
          <w:highlight w:val="none"/>
          <w:u w:val="single"/>
          <w:shd w:val="clear" w:color="auto" w:fill="auto"/>
        </w:rPr>
        <w:t>八、磋商响应函</w:t>
      </w:r>
    </w:p>
    <w:p w14:paraId="5A727302">
      <w:pPr>
        <w:pStyle w:val="32"/>
        <w:keepNext w:val="0"/>
        <w:keepLines w:val="0"/>
        <w:pageBreakBefore w:val="0"/>
        <w:widowControl w:val="0"/>
        <w:spacing w:beforeAutospacing="0" w:afterAutospacing="0" w:line="500" w:lineRule="atLeast"/>
        <w:rPr>
          <w:rFonts w:hint="eastAsia" w:eastAsia="宋体"/>
          <w:color w:val="auto"/>
          <w:highlight w:val="none"/>
          <w:shd w:val="clear" w:color="auto" w:fill="auto"/>
          <w:lang w:eastAsia="zh-CN"/>
        </w:rPr>
      </w:pPr>
      <w:r>
        <w:rPr>
          <w:rFonts w:hint="eastAsia" w:ascii="宋体" w:hAnsi="宋体" w:eastAsia="宋体" w:cs="宋体"/>
          <w:color w:val="auto"/>
          <w:highlight w:val="none"/>
          <w:shd w:val="clear" w:color="auto" w:fill="auto"/>
        </w:rPr>
        <w:t>致：</w:t>
      </w:r>
      <w:r>
        <w:rPr>
          <w:rFonts w:hint="eastAsia" w:ascii="宋体" w:hAnsi="宋体" w:eastAsia="宋体" w:cs="宋体"/>
          <w:color w:val="auto"/>
          <w:highlight w:val="none"/>
          <w:shd w:val="clear" w:color="auto" w:fill="auto"/>
          <w:lang w:eastAsia="zh-CN"/>
        </w:rPr>
        <w:t xml:space="preserve">射阳县行政服务中心 </w:t>
      </w:r>
    </w:p>
    <w:p w14:paraId="753875C2">
      <w:pPr>
        <w:pStyle w:val="32"/>
        <w:keepNext w:val="0"/>
        <w:keepLines w:val="0"/>
        <w:pageBreakBefore w:val="0"/>
        <w:widowControl w:val="0"/>
        <w:spacing w:beforeAutospacing="0" w:afterAutospacing="0" w:line="50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根据贵方的JSZC-***</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color w:val="auto"/>
          <w:highlight w:val="none"/>
          <w:shd w:val="clear" w:color="auto" w:fill="auto"/>
        </w:rPr>
        <w:t>号磋商文件，正式授权下述签字人______(姓名)代表我方______________（供应商的名称），全权处理本次项目磋商的有关事宜。</w:t>
      </w:r>
    </w:p>
    <w:p w14:paraId="25879A9A">
      <w:pPr>
        <w:pStyle w:val="32"/>
        <w:keepNext w:val="0"/>
        <w:keepLines w:val="0"/>
        <w:pageBreakBefore w:val="0"/>
        <w:widowControl w:val="0"/>
        <w:spacing w:beforeAutospacing="0" w:afterAutospacing="0" w:line="50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据此函，__________签字人兹宣布同意如下：</w:t>
      </w:r>
    </w:p>
    <w:p w14:paraId="74ECB3E3">
      <w:pPr>
        <w:pStyle w:val="32"/>
        <w:keepNext w:val="0"/>
        <w:keepLines w:val="0"/>
        <w:pageBreakBefore w:val="0"/>
        <w:widowControl w:val="0"/>
        <w:spacing w:beforeAutospacing="0" w:afterAutospacing="0" w:line="50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1.按磋商文件规定的各项要求，向买方提供所需货物、服务（包含与货物相关的服务及与服务相关的货物）。</w:t>
      </w:r>
    </w:p>
    <w:p w14:paraId="361BBEE5">
      <w:pPr>
        <w:pStyle w:val="32"/>
        <w:keepNext w:val="0"/>
        <w:keepLines w:val="0"/>
        <w:pageBreakBefore w:val="0"/>
        <w:widowControl w:val="0"/>
        <w:spacing w:beforeAutospacing="0" w:afterAutospacing="0" w:line="50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2.我们完全理解贵方不一定将合同授予最低报价的供应商。</w:t>
      </w:r>
    </w:p>
    <w:p w14:paraId="05A918E2">
      <w:pPr>
        <w:pStyle w:val="32"/>
        <w:keepNext w:val="0"/>
        <w:keepLines w:val="0"/>
        <w:pageBreakBefore w:val="0"/>
        <w:widowControl w:val="0"/>
        <w:spacing w:beforeAutospacing="0" w:afterAutospacing="0" w:line="50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3.我们已详细审核全部磋商文件及其有效补充文件，我们知道必须放弃提出含糊不清或误解问题的权利。</w:t>
      </w:r>
    </w:p>
    <w:p w14:paraId="460A0D42">
      <w:pPr>
        <w:pStyle w:val="32"/>
        <w:keepNext w:val="0"/>
        <w:keepLines w:val="0"/>
        <w:pageBreakBefore w:val="0"/>
        <w:widowControl w:val="0"/>
        <w:spacing w:beforeAutospacing="0" w:afterAutospacing="0" w:line="50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4.我们同意从规定的开标日期起遵循本响应文件，并在规定的磋商有效期期满之前均具有约束力。</w:t>
      </w:r>
    </w:p>
    <w:p w14:paraId="5A4053C8">
      <w:pPr>
        <w:pStyle w:val="32"/>
        <w:keepNext w:val="0"/>
        <w:keepLines w:val="0"/>
        <w:pageBreakBefore w:val="0"/>
        <w:widowControl w:val="0"/>
        <w:spacing w:beforeAutospacing="0" w:afterAutospacing="0" w:line="50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5.同意向贵方提供贵方可能另外要求的与磋商有关的任何证据或资料，并保证我方已提供和将要提供的文件是真实的、准确的。</w:t>
      </w:r>
    </w:p>
    <w:p w14:paraId="688866AA">
      <w:pPr>
        <w:pStyle w:val="32"/>
        <w:keepNext w:val="0"/>
        <w:keepLines w:val="0"/>
        <w:pageBreakBefore w:val="0"/>
        <w:widowControl w:val="0"/>
        <w:spacing w:beforeAutospacing="0" w:afterAutospacing="0" w:line="50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6.一旦我方成交,我方将根据磋商文件的规定，严格履行合同的责任和义务,并保证在磋商文件规定的时间完成项目，交付买方验收、使用。</w:t>
      </w:r>
    </w:p>
    <w:p w14:paraId="43D44891">
      <w:pPr>
        <w:pStyle w:val="32"/>
        <w:keepNext w:val="0"/>
        <w:keepLines w:val="0"/>
        <w:pageBreakBefore w:val="0"/>
        <w:widowControl w:val="0"/>
        <w:spacing w:beforeAutospacing="0" w:afterAutospacing="0" w:line="500" w:lineRule="atLeast"/>
        <w:ind w:left="425"/>
        <w:rPr>
          <w:color w:val="auto"/>
          <w:highlight w:val="none"/>
          <w:shd w:val="clear" w:color="auto" w:fill="auto"/>
        </w:rPr>
      </w:pPr>
      <w:r>
        <w:rPr>
          <w:rFonts w:hint="eastAsia" w:ascii="宋体" w:hAnsi="宋体" w:eastAsia="宋体" w:cs="宋体"/>
          <w:color w:val="auto"/>
          <w:highlight w:val="none"/>
          <w:shd w:val="clear" w:color="auto" w:fill="auto"/>
        </w:rPr>
        <w:t>7.我方与本磋商有关的正式通讯地址为：</w:t>
      </w:r>
    </w:p>
    <w:p w14:paraId="7F070672">
      <w:pPr>
        <w:pStyle w:val="32"/>
        <w:keepNext w:val="0"/>
        <w:keepLines w:val="0"/>
        <w:pageBreakBefore w:val="0"/>
        <w:widowControl w:val="0"/>
        <w:spacing w:beforeAutospacing="0" w:afterAutospacing="0" w:line="50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地          址：</w:t>
      </w:r>
    </w:p>
    <w:p w14:paraId="1F17069A">
      <w:pPr>
        <w:pStyle w:val="32"/>
        <w:keepNext w:val="0"/>
        <w:keepLines w:val="0"/>
        <w:pageBreakBefore w:val="0"/>
        <w:widowControl w:val="0"/>
        <w:spacing w:beforeAutospacing="0" w:afterAutospacing="0" w:line="50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邮          编：</w:t>
      </w:r>
    </w:p>
    <w:p w14:paraId="5B066A09">
      <w:pPr>
        <w:pStyle w:val="32"/>
        <w:keepNext w:val="0"/>
        <w:keepLines w:val="0"/>
        <w:pageBreakBefore w:val="0"/>
        <w:widowControl w:val="0"/>
        <w:spacing w:beforeAutospacing="0" w:afterAutospacing="0" w:line="50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电          话：</w:t>
      </w:r>
    </w:p>
    <w:p w14:paraId="47DDE360">
      <w:pPr>
        <w:pStyle w:val="32"/>
        <w:keepNext w:val="0"/>
        <w:keepLines w:val="0"/>
        <w:pageBreakBefore w:val="0"/>
        <w:widowControl w:val="0"/>
        <w:spacing w:beforeAutospacing="0" w:afterAutospacing="0" w:line="50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传          真：</w:t>
      </w:r>
    </w:p>
    <w:p w14:paraId="7134EC1A">
      <w:pPr>
        <w:pStyle w:val="32"/>
        <w:keepNext w:val="0"/>
        <w:keepLines w:val="0"/>
        <w:pageBreakBefore w:val="0"/>
        <w:widowControl w:val="0"/>
        <w:spacing w:beforeAutospacing="0" w:afterAutospacing="0" w:line="50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供应商开户行：</w:t>
      </w:r>
    </w:p>
    <w:p w14:paraId="24CE234F">
      <w:pPr>
        <w:pStyle w:val="32"/>
        <w:keepNext w:val="0"/>
        <w:keepLines w:val="0"/>
        <w:pageBreakBefore w:val="0"/>
        <w:widowControl w:val="0"/>
        <w:spacing w:beforeAutospacing="0" w:afterAutospacing="0" w:line="500" w:lineRule="atLeast"/>
        <w:ind w:left="420"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账          号： </w:t>
      </w:r>
    </w:p>
    <w:p w14:paraId="11200407">
      <w:pPr>
        <w:pStyle w:val="32"/>
        <w:keepNext w:val="0"/>
        <w:keepLines w:val="0"/>
        <w:pageBreakBefore w:val="0"/>
        <w:widowControl w:val="0"/>
        <w:spacing w:beforeAutospacing="0" w:afterAutospacing="0" w:line="500" w:lineRule="atLeast"/>
        <w:ind w:left="420"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投标人全称（加盖CA电子公章）：</w:t>
      </w:r>
    </w:p>
    <w:p w14:paraId="2AE11B0B">
      <w:pPr>
        <w:pStyle w:val="32"/>
        <w:keepNext w:val="0"/>
        <w:keepLines w:val="0"/>
        <w:pageBreakBefore w:val="0"/>
        <w:widowControl w:val="0"/>
        <w:spacing w:beforeAutospacing="0" w:afterAutospacing="0" w:line="500" w:lineRule="atLeast"/>
        <w:ind w:left="420"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法定代表人或授权代表（签字）：</w:t>
      </w:r>
    </w:p>
    <w:p w14:paraId="53757778">
      <w:pPr>
        <w:pStyle w:val="32"/>
        <w:keepNext w:val="0"/>
        <w:keepLines w:val="0"/>
        <w:pageBreakBefore w:val="0"/>
        <w:widowControl w:val="0"/>
        <w:spacing w:beforeAutospacing="0" w:afterAutospacing="0" w:line="50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日           期：________年____月____日</w:t>
      </w:r>
    </w:p>
    <w:p w14:paraId="69618443">
      <w:pPr>
        <w:pStyle w:val="32"/>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5A05802B">
      <w:pPr>
        <w:pStyle w:val="32"/>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7BFE5A17">
      <w:pPr>
        <w:pStyle w:val="32"/>
        <w:numPr>
          <w:ilvl w:val="0"/>
          <w:numId w:val="2"/>
        </w:numPr>
        <w:spacing w:beforeAutospacing="0" w:afterAutospacing="0" w:line="0" w:lineRule="atLeast"/>
        <w:jc w:val="cente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企业声明函（服务）</w:t>
      </w:r>
    </w:p>
    <w:p w14:paraId="356AA2BD">
      <w:pPr>
        <w:pStyle w:val="32"/>
        <w:numPr>
          <w:ilvl w:val="0"/>
          <w:numId w:val="0"/>
        </w:numPr>
        <w:spacing w:beforeAutospacing="0" w:afterAutospacing="0" w:line="0" w:lineRule="atLeast"/>
        <w:jc w:val="both"/>
        <w:rPr>
          <w:rFonts w:hint="eastAsia" w:ascii="黑体" w:hAnsi="宋体" w:eastAsia="黑体" w:cs="黑体"/>
          <w:b/>
          <w:color w:val="auto"/>
          <w:sz w:val="32"/>
          <w:szCs w:val="32"/>
          <w:highlight w:val="none"/>
        </w:rPr>
      </w:pPr>
    </w:p>
    <w:p w14:paraId="70E9C407">
      <w:pPr>
        <w:keepNext w:val="0"/>
        <w:keepLines w:val="0"/>
        <w:pageBreakBefore w:val="0"/>
        <w:widowControl w:val="0"/>
        <w:spacing w:line="500" w:lineRule="exact"/>
        <w:ind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lang w:eastAsia="zh-CN"/>
        </w:rPr>
        <w:t xml:space="preserve">射阳县行政服务中心 </w:t>
      </w:r>
      <w:r>
        <w:rPr>
          <w:rFonts w:hint="eastAsia" w:ascii="宋体" w:hAnsi="宋体" w:eastAsia="宋体" w:cs="宋体"/>
          <w:color w:val="auto"/>
          <w:sz w:val="24"/>
          <w:szCs w:val="24"/>
          <w:highlight w:val="none"/>
        </w:rPr>
        <w:t>组织的</w:t>
      </w:r>
      <w:r>
        <w:rPr>
          <w:rFonts w:hint="eastAsia" w:ascii="宋体" w:hAnsi="宋体" w:eastAsia="宋体" w:cs="宋体"/>
          <w:i/>
          <w:iCs/>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的</w:t>
      </w:r>
      <w:r>
        <w:rPr>
          <w:rFonts w:hint="eastAsia" w:ascii="宋体" w:hAnsi="宋体" w:eastAsia="宋体" w:cs="宋体"/>
          <w:i/>
          <w:iCs/>
          <w:color w:val="auto"/>
          <w:sz w:val="24"/>
          <w:szCs w:val="24"/>
          <w:highlight w:val="none"/>
          <w:u w:val="single"/>
        </w:rPr>
        <w:t>（项目名称）</w:t>
      </w:r>
      <w:r>
        <w:rPr>
          <w:rFonts w:hint="eastAsia" w:ascii="宋体" w:hAnsi="宋体" w:eastAsia="宋体" w:cs="宋体"/>
          <w:color w:val="auto"/>
          <w:sz w:val="24"/>
          <w:szCs w:val="24"/>
          <w:highlight w:val="none"/>
        </w:rPr>
        <w:t>的采购活动，服务全部由符合政策要求的中小企业承接。相关企业（含联合体中的中小企业、签订分包意向协议的中小企业）的具体情况如下：</w:t>
      </w:r>
    </w:p>
    <w:p w14:paraId="2C1CB5FB">
      <w:pPr>
        <w:keepNext w:val="0"/>
        <w:keepLines w:val="0"/>
        <w:pageBreakBefore w:val="0"/>
        <w:widowControl w:val="0"/>
        <w:numPr>
          <w:ilvl w:val="0"/>
          <w:numId w:val="3"/>
        </w:numPr>
        <w:spacing w:line="500" w:lineRule="exact"/>
        <w:ind w:right="0" w:firstLine="480"/>
        <w:jc w:val="both"/>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i/>
          <w:iCs/>
          <w:color w:val="auto"/>
          <w:sz w:val="24"/>
          <w:szCs w:val="24"/>
          <w:highlight w:val="none"/>
          <w:u w:val="single"/>
        </w:rPr>
        <w:t>（</w:t>
      </w:r>
      <w:r>
        <w:rPr>
          <w:rFonts w:hint="eastAsia" w:ascii="宋体" w:hAnsi="宋体" w:eastAsia="宋体" w:cs="宋体"/>
          <w:i/>
          <w:iCs/>
          <w:color w:val="auto"/>
          <w:sz w:val="24"/>
          <w:szCs w:val="24"/>
          <w:highlight w:val="none"/>
          <w:u w:val="single"/>
          <w:lang w:val="en-US" w:eastAsia="zh-CN"/>
        </w:rPr>
        <w:t>磋商</w:t>
      </w:r>
      <w:r>
        <w:rPr>
          <w:rFonts w:hint="eastAsia" w:ascii="宋体" w:hAnsi="宋体" w:eastAsia="宋体" w:cs="宋体"/>
          <w:i/>
          <w:iCs/>
          <w:color w:val="auto"/>
          <w:sz w:val="24"/>
          <w:szCs w:val="24"/>
          <w:highlight w:val="none"/>
          <w:u w:val="single"/>
        </w:rPr>
        <w:t>文件中明确的所属行业）</w:t>
      </w:r>
      <w:r>
        <w:rPr>
          <w:rFonts w:hint="eastAsia" w:ascii="宋体" w:hAnsi="宋体" w:eastAsia="宋体" w:cs="宋体"/>
          <w:color w:val="auto"/>
          <w:sz w:val="24"/>
          <w:szCs w:val="24"/>
          <w:highlight w:val="none"/>
        </w:rPr>
        <w:t>；承建（承接）企业为</w:t>
      </w:r>
      <w:r>
        <w:rPr>
          <w:rFonts w:hint="eastAsia" w:ascii="宋体" w:hAnsi="宋体" w:eastAsia="宋体" w:cs="宋体"/>
          <w:i/>
          <w:iCs/>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i/>
          <w:iCs/>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761A38ED">
      <w:pPr>
        <w:keepNext w:val="0"/>
        <w:keepLines w:val="0"/>
        <w:pageBreakBefore w:val="0"/>
        <w:widowControl w:val="0"/>
        <w:numPr>
          <w:ilvl w:val="0"/>
          <w:numId w:val="3"/>
        </w:numPr>
        <w:spacing w:line="50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i/>
          <w:iCs/>
          <w:color w:val="auto"/>
          <w:sz w:val="24"/>
          <w:szCs w:val="24"/>
          <w:highlight w:val="none"/>
          <w:u w:val="single"/>
        </w:rPr>
        <w:t>（</w:t>
      </w:r>
      <w:r>
        <w:rPr>
          <w:rFonts w:hint="eastAsia" w:ascii="宋体" w:hAnsi="宋体" w:eastAsia="宋体" w:cs="宋体"/>
          <w:i/>
          <w:iCs/>
          <w:color w:val="auto"/>
          <w:sz w:val="24"/>
          <w:szCs w:val="24"/>
          <w:highlight w:val="none"/>
          <w:u w:val="single"/>
          <w:lang w:val="en-US" w:eastAsia="zh-CN"/>
        </w:rPr>
        <w:t>磋商</w:t>
      </w:r>
      <w:r>
        <w:rPr>
          <w:rFonts w:hint="eastAsia" w:ascii="宋体" w:hAnsi="宋体" w:eastAsia="宋体" w:cs="宋体"/>
          <w:i/>
          <w:iCs/>
          <w:color w:val="auto"/>
          <w:sz w:val="24"/>
          <w:szCs w:val="24"/>
          <w:highlight w:val="none"/>
          <w:u w:val="single"/>
        </w:rPr>
        <w:t>文件中明确的所属行业）</w:t>
      </w:r>
      <w:r>
        <w:rPr>
          <w:rFonts w:hint="eastAsia" w:ascii="宋体" w:hAnsi="宋体" w:eastAsia="宋体" w:cs="宋体"/>
          <w:color w:val="auto"/>
          <w:sz w:val="24"/>
          <w:szCs w:val="24"/>
          <w:highlight w:val="none"/>
        </w:rPr>
        <w:t>；承建（承接）企业为</w:t>
      </w:r>
      <w:r>
        <w:rPr>
          <w:rFonts w:hint="eastAsia" w:ascii="宋体" w:hAnsi="宋体" w:eastAsia="宋体" w:cs="宋体"/>
          <w:i/>
          <w:iCs/>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i/>
          <w:iCs/>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5E36F31E">
      <w:pPr>
        <w:keepNext w:val="0"/>
        <w:keepLines w:val="0"/>
        <w:pageBreakBefore w:val="0"/>
        <w:widowControl w:val="0"/>
        <w:numPr>
          <w:ilvl w:val="0"/>
          <w:numId w:val="0"/>
        </w:numPr>
        <w:spacing w:line="500" w:lineRule="exact"/>
        <w:ind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052BE8DD">
      <w:pPr>
        <w:keepNext w:val="0"/>
        <w:keepLines w:val="0"/>
        <w:pageBreakBefore w:val="0"/>
        <w:widowControl w:val="0"/>
        <w:numPr>
          <w:ilvl w:val="0"/>
          <w:numId w:val="0"/>
        </w:numPr>
        <w:spacing w:line="500" w:lineRule="exact"/>
        <w:ind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033AB915">
      <w:pPr>
        <w:keepNext w:val="0"/>
        <w:keepLines w:val="0"/>
        <w:pageBreakBefore w:val="0"/>
        <w:widowControl w:val="0"/>
        <w:numPr>
          <w:ilvl w:val="0"/>
          <w:numId w:val="0"/>
        </w:numPr>
        <w:spacing w:line="500" w:lineRule="exact"/>
        <w:ind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43FFF505">
      <w:pPr>
        <w:pStyle w:val="32"/>
        <w:keepNext w:val="0"/>
        <w:keepLines w:val="0"/>
        <w:pageBreakBefore w:val="0"/>
        <w:widowControl w:val="0"/>
        <w:spacing w:beforeAutospacing="0" w:afterAutospacing="0" w:line="500" w:lineRule="exact"/>
        <w:ind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05AB21C">
      <w:pPr>
        <w:pStyle w:val="32"/>
        <w:keepNext w:val="0"/>
        <w:keepLines w:val="0"/>
        <w:pageBreakBefore w:val="0"/>
        <w:widowControl w:val="0"/>
        <w:spacing w:beforeAutospacing="0" w:afterAutospacing="0" w:line="500" w:lineRule="exact"/>
        <w:ind w:right="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w:t>
      </w:r>
    </w:p>
    <w:p w14:paraId="74996D7E">
      <w:pPr>
        <w:pStyle w:val="32"/>
        <w:keepNext w:val="0"/>
        <w:keepLines w:val="0"/>
        <w:pageBreakBefore w:val="0"/>
        <w:widowControl w:val="0"/>
        <w:spacing w:beforeAutospacing="0" w:afterAutospacing="0" w:line="500" w:lineRule="exact"/>
        <w:ind w:right="0" w:firstLine="54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5472373A">
      <w:pPr>
        <w:pStyle w:val="32"/>
        <w:keepNext w:val="0"/>
        <w:keepLines w:val="0"/>
        <w:pageBreakBefore w:val="0"/>
        <w:widowControl w:val="0"/>
        <w:spacing w:beforeAutospacing="0" w:afterAutospacing="0" w:line="500" w:lineRule="exact"/>
        <w:ind w:right="0" w:firstLine="24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0938D62D">
      <w:pPr>
        <w:pStyle w:val="32"/>
        <w:keepNext w:val="0"/>
        <w:keepLines w:val="0"/>
        <w:pageBreakBefore w:val="0"/>
        <w:widowControl w:val="0"/>
        <w:spacing w:beforeAutospacing="0" w:afterAutospacing="0" w:line="500" w:lineRule="exact"/>
        <w:ind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备注1：从业人员、营业收入、资产总额填报上一年度数据，无上一年度数据的新成立企业可不填报。</w:t>
      </w:r>
    </w:p>
    <w:p w14:paraId="03C23983">
      <w:pPr>
        <w:pStyle w:val="32"/>
        <w:keepNext w:val="0"/>
        <w:keepLines w:val="0"/>
        <w:pageBreakBefore w:val="0"/>
        <w:widowControl w:val="0"/>
        <w:spacing w:beforeAutospacing="0" w:afterAutospacing="0" w:line="500" w:lineRule="exact"/>
        <w:ind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备注2：供应商如不提供此声明函，价格将不做相应扣除</w:t>
      </w:r>
      <w:r>
        <w:rPr>
          <w:rFonts w:hint="eastAsia" w:ascii="宋体" w:hAnsi="宋体" w:eastAsia="宋体" w:cs="宋体"/>
          <w:color w:val="auto"/>
          <w:sz w:val="24"/>
          <w:szCs w:val="24"/>
          <w:highlight w:val="none"/>
          <w:lang w:eastAsia="zh-CN"/>
        </w:rPr>
        <w:t>（如项目全面面向中小企业，则资格审查不通过）</w:t>
      </w:r>
      <w:r>
        <w:rPr>
          <w:rFonts w:hint="eastAsia" w:ascii="宋体" w:hAnsi="宋体" w:eastAsia="宋体" w:cs="宋体"/>
          <w:color w:val="auto"/>
          <w:sz w:val="24"/>
          <w:szCs w:val="24"/>
          <w:highlight w:val="none"/>
        </w:rPr>
        <w:t>。</w:t>
      </w:r>
    </w:p>
    <w:p w14:paraId="2CF52619">
      <w:pPr>
        <w:pStyle w:val="32"/>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rPr>
        <w:br w:type="page" w:clear="all"/>
      </w:r>
    </w:p>
    <w:p w14:paraId="11F7330C">
      <w:pPr>
        <w:pStyle w:val="32"/>
        <w:numPr>
          <w:ilvl w:val="0"/>
          <w:numId w:val="2"/>
        </w:numPr>
        <w:spacing w:beforeAutospacing="0" w:afterAutospacing="0" w:line="0" w:lineRule="atLeast"/>
        <w:ind w:left="0" w:firstLine="0"/>
        <w:jc w:val="center"/>
        <w:rPr>
          <w:rFonts w:hint="eastAsia" w:ascii="黑体" w:hAnsi="宋体" w:eastAsia="黑体" w:cs="黑体"/>
          <w:b/>
          <w:color w:val="auto"/>
          <w:sz w:val="32"/>
          <w:szCs w:val="32"/>
          <w:highlight w:val="none"/>
          <w:shd w:val="clear" w:color="auto" w:fill="auto"/>
        </w:rPr>
      </w:pPr>
      <w:r>
        <w:rPr>
          <w:rFonts w:hint="eastAsia" w:ascii="黑体" w:hAnsi="宋体" w:eastAsia="黑体" w:cs="黑体"/>
          <w:b/>
          <w:color w:val="auto"/>
          <w:sz w:val="32"/>
          <w:szCs w:val="32"/>
          <w:highlight w:val="none"/>
          <w:shd w:val="clear" w:color="auto" w:fill="auto"/>
        </w:rPr>
        <w:t>残疾人福利性单位声明函</w:t>
      </w:r>
    </w:p>
    <w:p w14:paraId="488658C9">
      <w:pPr>
        <w:pStyle w:val="32"/>
        <w:numPr>
          <w:ilvl w:val="0"/>
          <w:numId w:val="0"/>
        </w:numPr>
        <w:spacing w:beforeAutospacing="0" w:afterAutospacing="0" w:line="0" w:lineRule="atLeast"/>
        <w:jc w:val="both"/>
        <w:rPr>
          <w:rFonts w:hint="eastAsia" w:ascii="黑体" w:hAnsi="宋体" w:eastAsia="黑体" w:cs="黑体"/>
          <w:b/>
          <w:color w:val="auto"/>
          <w:sz w:val="32"/>
          <w:szCs w:val="32"/>
          <w:highlight w:val="none"/>
          <w:shd w:val="clear" w:color="auto" w:fill="auto"/>
        </w:rPr>
      </w:pPr>
    </w:p>
    <w:p w14:paraId="03577557">
      <w:pPr>
        <w:pStyle w:val="32"/>
        <w:keepNext w:val="0"/>
        <w:keepLines w:val="0"/>
        <w:pageBreakBefore w:val="0"/>
        <w:widowControl w:val="0"/>
        <w:spacing w:beforeAutospacing="0" w:afterAutospacing="0" w:line="500" w:lineRule="exact"/>
        <w:ind w:firstLine="482"/>
        <w:jc w:val="both"/>
        <w:rPr>
          <w:color w:val="auto"/>
          <w:highlight w:val="none"/>
          <w:shd w:val="clear" w:color="auto" w:fill="auto"/>
        </w:rPr>
      </w:pPr>
      <w:r>
        <w:rPr>
          <w:rFonts w:hint="eastAsia" w:ascii="宋体" w:hAnsi="宋体" w:eastAsia="宋体" w:cs="宋体"/>
          <w:color w:val="auto"/>
          <w:highlight w:val="none"/>
          <w:shd w:val="clear" w:color="auto" w:fill="auto"/>
        </w:rPr>
        <w:t>本单位郑重声明，根据《财政部 民政部 中国残疾人联合会关于促进残疾人就业政府采购政策的通知》（财库</w:t>
      </w:r>
      <w:r>
        <w:rPr>
          <w:rFonts w:hint="eastAsia" w:ascii="宋体" w:hAnsi="宋体" w:eastAsia="宋体" w:cs="宋体"/>
          <w:color w:val="auto"/>
          <w:highlight w:val="none"/>
          <w:shd w:val="clear" w:color="auto" w:fill="auto"/>
          <w:lang w:eastAsia="zh-CN"/>
        </w:rPr>
        <w:t>〔2017〕141号</w:t>
      </w:r>
      <w:r>
        <w:rPr>
          <w:rFonts w:hint="eastAsia" w:ascii="宋体" w:hAnsi="宋体" w:eastAsia="宋体" w:cs="宋体"/>
          <w:color w:val="auto"/>
          <w:highlight w:val="none"/>
          <w:shd w:val="clear" w:color="auto" w:fill="auto"/>
        </w:rPr>
        <w:t>）的规定，本单位为符合条件的残疾人福利性单位，且本单位参加______单位的</w:t>
      </w:r>
      <w:r>
        <w:rPr>
          <w:rFonts w:hint="eastAsia" w:ascii="宋体" w:hAnsi="宋体" w:eastAsia="宋体" w:cs="宋体"/>
          <w:color w:val="auto"/>
          <w:highlight w:val="none"/>
          <w:shd w:val="clear" w:color="auto" w:fill="auto"/>
          <w:lang w:val="en-US" w:eastAsia="zh-CN"/>
        </w:rPr>
        <w:t>磋商</w:t>
      </w:r>
      <w:r>
        <w:rPr>
          <w:rFonts w:hint="eastAsia" w:ascii="宋体" w:hAnsi="宋体" w:eastAsia="宋体" w:cs="宋体"/>
          <w:color w:val="auto"/>
          <w:highlight w:val="none"/>
          <w:shd w:val="clear" w:color="auto" w:fill="auto"/>
        </w:rPr>
        <w:t>文件编号为______的</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项目（分包号：**）采购活动提供本单位制造的货物，或者提供其他残疾人福利性单位制造的货物（不包括使用非残疾人福利性单位注册商标的货物）。</w:t>
      </w:r>
    </w:p>
    <w:p w14:paraId="6A2AD1AE">
      <w:pPr>
        <w:pStyle w:val="32"/>
        <w:keepNext w:val="0"/>
        <w:keepLines w:val="0"/>
        <w:pageBreakBefore w:val="0"/>
        <w:widowControl w:val="0"/>
        <w:spacing w:beforeAutospacing="0" w:afterAutospacing="0" w:line="500" w:lineRule="exact"/>
        <w:ind w:firstLine="482"/>
        <w:jc w:val="both"/>
        <w:rPr>
          <w:color w:val="auto"/>
          <w:highlight w:val="none"/>
          <w:shd w:val="clear" w:color="auto" w:fill="auto"/>
        </w:rPr>
      </w:pPr>
      <w:r>
        <w:rPr>
          <w:rFonts w:hint="eastAsia" w:ascii="宋体" w:hAnsi="宋体" w:eastAsia="宋体" w:cs="宋体"/>
          <w:color w:val="auto"/>
          <w:highlight w:val="none"/>
          <w:shd w:val="clear" w:color="auto" w:fill="auto"/>
        </w:rPr>
        <w:t>本单位对上述声明的真实性负责。如有虚假，将依法承担相应责任。</w:t>
      </w:r>
    </w:p>
    <w:p w14:paraId="3F0C7333">
      <w:pPr>
        <w:pStyle w:val="32"/>
        <w:keepNext w:val="0"/>
        <w:keepLines w:val="0"/>
        <w:pageBreakBefore w:val="0"/>
        <w:widowControl w:val="0"/>
        <w:spacing w:beforeAutospacing="0" w:afterAutospacing="0" w:line="500" w:lineRule="exact"/>
        <w:ind w:firstLine="482"/>
        <w:jc w:val="both"/>
        <w:rPr>
          <w:color w:val="auto"/>
          <w:highlight w:val="none"/>
          <w:shd w:val="clear" w:color="auto" w:fill="auto"/>
        </w:rPr>
      </w:pPr>
      <w:r>
        <w:rPr>
          <w:color w:val="auto"/>
          <w:highlight w:val="none"/>
          <w:shd w:val="clear" w:color="auto" w:fill="auto"/>
        </w:rPr>
        <w:t> </w:t>
      </w:r>
    </w:p>
    <w:p w14:paraId="30601F79">
      <w:pPr>
        <w:pStyle w:val="32"/>
        <w:keepNext w:val="0"/>
        <w:keepLines w:val="0"/>
        <w:pageBreakBefore w:val="0"/>
        <w:widowControl w:val="0"/>
        <w:spacing w:beforeAutospacing="0" w:afterAutospacing="0" w:line="500" w:lineRule="exact"/>
        <w:ind w:firstLine="482"/>
        <w:jc w:val="both"/>
        <w:rPr>
          <w:rFonts w:hint="eastAsia" w:eastAsia="宋体"/>
          <w:color w:val="auto"/>
          <w:highlight w:val="none"/>
          <w:shd w:val="clear" w:color="auto" w:fill="auto"/>
          <w:lang w:eastAsia="zh-CN"/>
        </w:rPr>
      </w:pPr>
      <w:r>
        <w:rPr>
          <w:rFonts w:hint="eastAsia" w:ascii="宋体" w:hAnsi="宋体" w:eastAsia="宋体" w:cs="宋体"/>
          <w:color w:val="auto"/>
          <w:highlight w:val="none"/>
          <w:shd w:val="clear" w:color="auto" w:fill="auto"/>
        </w:rPr>
        <w:t>备注：1、供应商如不提供此声明函，价格将不做相应扣除</w:t>
      </w:r>
      <w:r>
        <w:rPr>
          <w:rFonts w:hint="eastAsia" w:ascii="宋体" w:hAnsi="宋体" w:eastAsia="宋体" w:cs="宋体"/>
          <w:color w:val="auto"/>
          <w:highlight w:val="none"/>
          <w:shd w:val="clear" w:color="auto" w:fill="auto"/>
          <w:lang w:eastAsia="zh-CN"/>
        </w:rPr>
        <w:t>（如项目全面面向中小企业，则资格审查不通过）</w:t>
      </w:r>
      <w:r>
        <w:rPr>
          <w:rFonts w:hint="eastAsia" w:ascii="宋体" w:hAnsi="宋体" w:eastAsia="宋体" w:cs="宋体"/>
          <w:color w:val="auto"/>
          <w:highlight w:val="none"/>
          <w:shd w:val="clear" w:color="auto" w:fill="auto"/>
        </w:rPr>
        <w:t>。2、成交供应商为残疾人福利单位的，此声明函将随成交结果同时公告，接受社会监督</w:t>
      </w:r>
      <w:r>
        <w:rPr>
          <w:rFonts w:hint="eastAsia" w:ascii="宋体" w:hAnsi="宋体" w:eastAsia="宋体" w:cs="宋体"/>
          <w:color w:val="auto"/>
          <w:highlight w:val="none"/>
          <w:shd w:val="clear" w:color="auto" w:fill="auto"/>
          <w:lang w:eastAsia="zh-CN"/>
        </w:rPr>
        <w:t>。</w:t>
      </w:r>
    </w:p>
    <w:p w14:paraId="220B2135">
      <w:pPr>
        <w:pStyle w:val="32"/>
        <w:spacing w:beforeAutospacing="0" w:afterAutospacing="0" w:line="0" w:lineRule="atLeast"/>
        <w:ind w:firstLine="624"/>
        <w:jc w:val="both"/>
        <w:rPr>
          <w:color w:val="auto"/>
          <w:highlight w:val="none"/>
          <w:shd w:val="clear" w:color="auto" w:fill="auto"/>
        </w:rPr>
      </w:pPr>
      <w:r>
        <w:rPr>
          <w:color w:val="auto"/>
          <w:highlight w:val="none"/>
          <w:shd w:val="clear" w:color="auto" w:fill="auto"/>
        </w:rPr>
        <w:t> </w:t>
      </w:r>
    </w:p>
    <w:p w14:paraId="210276ED">
      <w:pPr>
        <w:pStyle w:val="32"/>
        <w:keepNext w:val="0"/>
        <w:keepLines w:val="0"/>
        <w:pageBreakBefore w:val="0"/>
        <w:widowControl w:val="0"/>
        <w:tabs>
          <w:tab w:val="left" w:pos="4864"/>
        </w:tabs>
        <w:spacing w:beforeAutospacing="0" w:afterAutospacing="0" w:line="560" w:lineRule="atLeast"/>
        <w:ind w:right="1560" w:firstLine="624"/>
        <w:jc w:val="center"/>
        <w:rPr>
          <w:color w:val="auto"/>
          <w:highlight w:val="none"/>
          <w:shd w:val="clear" w:color="auto" w:fill="auto"/>
        </w:rPr>
      </w:pPr>
      <w:r>
        <w:rPr>
          <w:rFonts w:ascii="仿宋_GB2312" w:eastAsia="仿宋_GB2312" w:cs="仿宋_GB2312"/>
          <w:color w:val="auto"/>
          <w:sz w:val="30"/>
          <w:szCs w:val="30"/>
          <w:highlight w:val="none"/>
          <w:shd w:val="clear" w:color="auto" w:fill="auto"/>
        </w:rPr>
        <w:t xml:space="preserve">             </w:t>
      </w:r>
      <w:r>
        <w:rPr>
          <w:rFonts w:hint="eastAsia" w:ascii="宋体" w:hAnsi="宋体" w:eastAsia="宋体" w:cs="宋体"/>
          <w:color w:val="auto"/>
          <w:highlight w:val="none"/>
          <w:shd w:val="clear" w:color="auto" w:fill="auto"/>
        </w:rPr>
        <w:t>          供应商全称（加盖CA电子公章）：</w:t>
      </w:r>
    </w:p>
    <w:p w14:paraId="6ED19BF0">
      <w:pPr>
        <w:pStyle w:val="32"/>
        <w:keepNext w:val="0"/>
        <w:keepLines w:val="0"/>
        <w:pageBreakBefore w:val="0"/>
        <w:widowControl w:val="0"/>
        <w:tabs>
          <w:tab w:val="left" w:pos="4864"/>
        </w:tabs>
        <w:spacing w:beforeAutospacing="0" w:afterAutospacing="0" w:line="560" w:lineRule="atLeast"/>
        <w:ind w:right="1560" w:firstLine="480"/>
        <w:jc w:val="center"/>
        <w:rPr>
          <w:color w:val="auto"/>
          <w:highlight w:val="none"/>
          <w:shd w:val="clear" w:color="auto" w:fill="auto"/>
        </w:rPr>
      </w:pPr>
      <w:r>
        <w:rPr>
          <w:rFonts w:hint="eastAsia" w:ascii="宋体" w:hAnsi="宋体" w:eastAsia="宋体" w:cs="宋体"/>
          <w:color w:val="auto"/>
          <w:highlight w:val="none"/>
          <w:shd w:val="clear" w:color="auto" w:fill="auto"/>
        </w:rPr>
        <w:t>        日  期：</w:t>
      </w:r>
    </w:p>
    <w:p w14:paraId="5D620CD3">
      <w:pPr>
        <w:pStyle w:val="32"/>
        <w:keepNext w:val="0"/>
        <w:keepLines w:val="0"/>
        <w:pageBreakBefore w:val="0"/>
        <w:widowControl w:val="0"/>
        <w:spacing w:beforeAutospacing="0" w:afterAutospacing="0" w:line="560" w:lineRule="atLeast"/>
        <w:jc w:val="center"/>
        <w:rPr>
          <w:color w:val="auto"/>
          <w:highlight w:val="none"/>
          <w:shd w:val="clear" w:color="auto" w:fill="auto"/>
        </w:rPr>
      </w:pPr>
      <w:r>
        <w:rPr>
          <w:color w:val="auto"/>
          <w:highlight w:val="none"/>
          <w:shd w:val="clear" w:color="auto" w:fill="auto"/>
        </w:rPr>
        <w:t> </w:t>
      </w:r>
    </w:p>
    <w:p w14:paraId="773D7794">
      <w:pPr>
        <w:pStyle w:val="32"/>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49893378">
      <w:pPr>
        <w:pStyle w:val="32"/>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06A76251">
      <w:pPr>
        <w:pStyle w:val="32"/>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42ED09B5">
      <w:pPr>
        <w:pStyle w:val="32"/>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2C331D54">
      <w:pPr>
        <w:pStyle w:val="32"/>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09054391">
      <w:pPr>
        <w:pStyle w:val="32"/>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3FF35E73">
      <w:pPr>
        <w:pStyle w:val="32"/>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6AECA6D4">
      <w:pPr>
        <w:pStyle w:val="32"/>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7AD553B4">
      <w:pPr>
        <w:pStyle w:val="32"/>
        <w:spacing w:beforeAutospacing="0" w:afterAutospacing="0" w:line="0" w:lineRule="atLeast"/>
        <w:jc w:val="center"/>
        <w:rPr>
          <w:color w:val="auto"/>
          <w:highlight w:val="none"/>
          <w:shd w:val="clear" w:color="auto" w:fill="auto"/>
        </w:rPr>
      </w:pPr>
    </w:p>
    <w:p w14:paraId="015A2069">
      <w:pPr>
        <w:pStyle w:val="32"/>
        <w:spacing w:beforeAutospacing="0" w:afterAutospacing="0" w:line="0" w:lineRule="atLeast"/>
        <w:jc w:val="center"/>
        <w:rPr>
          <w:color w:val="auto"/>
          <w:highlight w:val="none"/>
          <w:shd w:val="clear" w:color="auto" w:fill="auto"/>
        </w:rPr>
      </w:pPr>
    </w:p>
    <w:p w14:paraId="20CFEEEB">
      <w:pPr>
        <w:pStyle w:val="32"/>
        <w:spacing w:beforeAutospacing="0" w:afterAutospacing="0" w:line="0" w:lineRule="atLeast"/>
        <w:jc w:val="center"/>
        <w:rPr>
          <w:color w:val="auto"/>
          <w:highlight w:val="none"/>
          <w:shd w:val="clear" w:color="auto" w:fill="auto"/>
        </w:rPr>
      </w:pPr>
    </w:p>
    <w:p w14:paraId="58475DB1">
      <w:pPr>
        <w:pStyle w:val="32"/>
        <w:spacing w:beforeAutospacing="0" w:afterAutospacing="0" w:line="0" w:lineRule="atLeast"/>
        <w:jc w:val="center"/>
        <w:rPr>
          <w:color w:val="auto"/>
          <w:highlight w:val="none"/>
          <w:shd w:val="clear" w:color="auto" w:fill="auto"/>
        </w:rPr>
      </w:pPr>
    </w:p>
    <w:p w14:paraId="69F20264">
      <w:pPr>
        <w:pStyle w:val="32"/>
        <w:spacing w:beforeAutospacing="0" w:afterAutospacing="0" w:line="0" w:lineRule="atLeast"/>
        <w:jc w:val="center"/>
        <w:rPr>
          <w:color w:val="auto"/>
          <w:highlight w:val="none"/>
          <w:shd w:val="clear" w:color="auto" w:fill="auto"/>
        </w:rPr>
      </w:pPr>
    </w:p>
    <w:p w14:paraId="694CDA84">
      <w:pPr>
        <w:pStyle w:val="32"/>
        <w:spacing w:beforeAutospacing="0" w:afterAutospacing="0" w:line="0" w:lineRule="atLeast"/>
        <w:jc w:val="center"/>
        <w:rPr>
          <w:color w:val="auto"/>
          <w:highlight w:val="none"/>
          <w:shd w:val="clear" w:color="auto" w:fill="auto"/>
        </w:rPr>
      </w:pPr>
    </w:p>
    <w:p w14:paraId="406932D5">
      <w:pPr>
        <w:pStyle w:val="32"/>
        <w:spacing w:beforeAutospacing="0" w:afterAutospacing="0" w:line="0" w:lineRule="atLeast"/>
        <w:jc w:val="center"/>
        <w:rPr>
          <w:color w:val="auto"/>
          <w:highlight w:val="none"/>
          <w:shd w:val="clear" w:color="auto" w:fill="auto"/>
        </w:rPr>
      </w:pPr>
    </w:p>
    <w:p w14:paraId="05F74A66">
      <w:pPr>
        <w:pStyle w:val="32"/>
        <w:spacing w:beforeAutospacing="0" w:afterAutospacing="0" w:line="0" w:lineRule="atLeast"/>
        <w:jc w:val="center"/>
        <w:rPr>
          <w:color w:val="auto"/>
          <w:highlight w:val="none"/>
          <w:shd w:val="clear" w:color="auto" w:fill="auto"/>
        </w:rPr>
      </w:pPr>
    </w:p>
    <w:p w14:paraId="123EEE07">
      <w:pPr>
        <w:pStyle w:val="32"/>
        <w:spacing w:beforeAutospacing="0" w:afterAutospacing="0" w:line="0" w:lineRule="atLeast"/>
        <w:jc w:val="center"/>
        <w:rPr>
          <w:color w:val="auto"/>
          <w:highlight w:val="none"/>
          <w:shd w:val="clear" w:color="auto" w:fill="auto"/>
        </w:rPr>
      </w:pPr>
    </w:p>
    <w:p w14:paraId="1DEF71D0">
      <w:pPr>
        <w:pStyle w:val="32"/>
        <w:spacing w:beforeAutospacing="0" w:afterAutospacing="0" w:line="0" w:lineRule="atLeast"/>
        <w:jc w:val="center"/>
        <w:rPr>
          <w:color w:val="auto"/>
          <w:highlight w:val="none"/>
          <w:shd w:val="clear" w:color="auto" w:fill="auto"/>
        </w:rPr>
      </w:pPr>
    </w:p>
    <w:p w14:paraId="5713E59A">
      <w:pPr>
        <w:pStyle w:val="32"/>
        <w:spacing w:beforeAutospacing="0" w:afterAutospacing="0" w:line="0" w:lineRule="atLeast"/>
        <w:jc w:val="center"/>
        <w:rPr>
          <w:color w:val="auto"/>
          <w:highlight w:val="none"/>
          <w:shd w:val="clear" w:color="auto" w:fill="auto"/>
        </w:rPr>
      </w:pPr>
    </w:p>
    <w:p w14:paraId="04D93BF9">
      <w:pPr>
        <w:pStyle w:val="32"/>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0D5E72E6">
      <w:pPr>
        <w:pStyle w:val="193"/>
        <w:numPr>
          <w:ilvl w:val="0"/>
          <w:numId w:val="0"/>
        </w:numPr>
        <w:spacing w:line="360" w:lineRule="auto"/>
        <w:jc w:val="center"/>
        <w:rPr>
          <w:rFonts w:ascii="黑体" w:hAnsi="宋体" w:eastAsia="黑体" w:cs="黑体"/>
          <w:b/>
          <w:color w:val="auto"/>
          <w:sz w:val="32"/>
          <w:szCs w:val="32"/>
          <w:highlight w:val="none"/>
          <w:shd w:val="clear" w:color="auto" w:fill="auto"/>
        </w:rPr>
      </w:pPr>
      <w:r>
        <w:rPr>
          <w:rFonts w:hint="eastAsia" w:ascii="黑体" w:hAnsi="宋体" w:eastAsia="黑体" w:cs="黑体"/>
          <w:b/>
          <w:color w:val="auto"/>
          <w:sz w:val="32"/>
          <w:szCs w:val="32"/>
          <w:highlight w:val="none"/>
          <w:shd w:val="clear" w:color="auto" w:fill="auto"/>
          <w:lang w:val="en-US" w:eastAsia="zh-CN"/>
        </w:rPr>
        <w:t>十一、</w:t>
      </w:r>
      <w:r>
        <w:rPr>
          <w:rFonts w:hint="eastAsia" w:ascii="黑体" w:hAnsi="宋体" w:eastAsia="黑体" w:cs="黑体"/>
          <w:b/>
          <w:color w:val="auto"/>
          <w:sz w:val="32"/>
          <w:szCs w:val="32"/>
          <w:highlight w:val="none"/>
          <w:shd w:val="clear" w:color="auto" w:fill="auto"/>
        </w:rPr>
        <w:t>分项报价表</w:t>
      </w:r>
    </w:p>
    <w:p w14:paraId="43669EE9">
      <w:pPr>
        <w:pStyle w:val="193"/>
        <w:spacing w:line="360" w:lineRule="auto"/>
        <w:rPr>
          <w:rFonts w:ascii="Times New Roman" w:hAnsi="Times New Roman" w:eastAsia="宋体"/>
          <w:color w:val="auto"/>
          <w:sz w:val="21"/>
          <w:highlight w:val="none"/>
          <w:shd w:val="clear" w:color="auto" w:fill="auto"/>
        </w:rPr>
      </w:pPr>
      <w:r>
        <w:rPr>
          <w:rFonts w:hint="eastAsia" w:ascii="Times New Roman" w:hAnsi="宋体" w:eastAsia="宋体"/>
          <w:color w:val="auto"/>
          <w:sz w:val="21"/>
          <w:highlight w:val="none"/>
          <w:shd w:val="clear" w:color="auto" w:fill="auto"/>
        </w:rPr>
        <w:t>项目名称：</w:t>
      </w:r>
    </w:p>
    <w:p w14:paraId="005B32AE">
      <w:pPr>
        <w:pStyle w:val="193"/>
        <w:spacing w:line="360" w:lineRule="auto"/>
        <w:rPr>
          <w:rFonts w:hAnsi="宋体" w:eastAsia="宋体"/>
          <w:color w:val="auto"/>
          <w:sz w:val="21"/>
          <w:highlight w:val="none"/>
          <w:shd w:val="clear" w:color="auto" w:fill="auto"/>
        </w:rPr>
      </w:pPr>
      <w:r>
        <w:rPr>
          <w:rFonts w:hint="eastAsia" w:hAnsi="宋体" w:eastAsia="宋体"/>
          <w:color w:val="auto"/>
          <w:sz w:val="21"/>
          <w:highlight w:val="none"/>
          <w:shd w:val="clear" w:color="auto" w:fill="auto"/>
          <w:lang w:eastAsia="zh-CN"/>
        </w:rPr>
        <w:t>供应商</w:t>
      </w:r>
      <w:r>
        <w:rPr>
          <w:rFonts w:hint="eastAsia" w:hAnsi="宋体" w:eastAsia="宋体"/>
          <w:color w:val="auto"/>
          <w:sz w:val="21"/>
          <w:highlight w:val="none"/>
          <w:shd w:val="clear" w:color="auto" w:fill="auto"/>
        </w:rPr>
        <w:t>名称（公章）：</w:t>
      </w:r>
      <w:r>
        <w:rPr>
          <w:rFonts w:hAnsi="宋体" w:eastAsia="宋体"/>
          <w:color w:val="auto"/>
          <w:sz w:val="21"/>
          <w:highlight w:val="none"/>
          <w:shd w:val="clear" w:color="auto" w:fill="auto"/>
        </w:rPr>
        <w:t xml:space="preserve">  </w:t>
      </w:r>
    </w:p>
    <w:tbl>
      <w:tblPr>
        <w:tblStyle w:val="35"/>
        <w:tblW w:w="9952" w:type="dxa"/>
        <w:tblInd w:w="-3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2175"/>
        <w:gridCol w:w="892"/>
        <w:gridCol w:w="975"/>
        <w:gridCol w:w="1215"/>
        <w:gridCol w:w="1260"/>
        <w:gridCol w:w="2640"/>
      </w:tblGrid>
      <w:tr w14:paraId="07160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795" w:type="dxa"/>
            <w:noWrap w:val="0"/>
            <w:vAlign w:val="center"/>
          </w:tcPr>
          <w:p w14:paraId="2C00686B">
            <w:pPr>
              <w:keepNext w:val="0"/>
              <w:keepLines w:val="0"/>
              <w:pageBreakBefore w:val="0"/>
              <w:widowControl/>
              <w:spacing w:line="360" w:lineRule="exact"/>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序号</w:t>
            </w:r>
          </w:p>
        </w:tc>
        <w:tc>
          <w:tcPr>
            <w:tcW w:w="2175" w:type="dxa"/>
            <w:noWrap w:val="0"/>
            <w:vAlign w:val="center"/>
          </w:tcPr>
          <w:p w14:paraId="3F550108">
            <w:pPr>
              <w:keepNext w:val="0"/>
              <w:keepLines w:val="0"/>
              <w:pageBreakBefore w:val="0"/>
              <w:widowControl/>
              <w:spacing w:line="360" w:lineRule="exact"/>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标的物名称</w:t>
            </w:r>
          </w:p>
        </w:tc>
        <w:tc>
          <w:tcPr>
            <w:tcW w:w="892" w:type="dxa"/>
            <w:noWrap w:val="0"/>
            <w:vAlign w:val="center"/>
          </w:tcPr>
          <w:p w14:paraId="11DBFA7C">
            <w:pPr>
              <w:keepNext w:val="0"/>
              <w:keepLines w:val="0"/>
              <w:pageBreakBefore w:val="0"/>
              <w:widowControl/>
              <w:spacing w:line="360" w:lineRule="exact"/>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单位</w:t>
            </w:r>
          </w:p>
        </w:tc>
        <w:tc>
          <w:tcPr>
            <w:tcW w:w="975" w:type="dxa"/>
            <w:noWrap w:val="0"/>
            <w:vAlign w:val="center"/>
          </w:tcPr>
          <w:p w14:paraId="60F467BA">
            <w:pPr>
              <w:keepNext w:val="0"/>
              <w:keepLines w:val="0"/>
              <w:pageBreakBefore w:val="0"/>
              <w:widowControl/>
              <w:spacing w:line="360" w:lineRule="exact"/>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数量</w:t>
            </w:r>
          </w:p>
        </w:tc>
        <w:tc>
          <w:tcPr>
            <w:tcW w:w="1215" w:type="dxa"/>
            <w:noWrap w:val="0"/>
            <w:vAlign w:val="center"/>
          </w:tcPr>
          <w:p w14:paraId="5C95E966">
            <w:pPr>
              <w:keepNext w:val="0"/>
              <w:keepLines w:val="0"/>
              <w:pageBreakBefore w:val="0"/>
              <w:widowControl/>
              <w:spacing w:line="360" w:lineRule="exact"/>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单价</w:t>
            </w:r>
          </w:p>
        </w:tc>
        <w:tc>
          <w:tcPr>
            <w:tcW w:w="1260" w:type="dxa"/>
            <w:noWrap w:val="0"/>
            <w:vAlign w:val="center"/>
          </w:tcPr>
          <w:p w14:paraId="6428A6DC">
            <w:pPr>
              <w:keepNext w:val="0"/>
              <w:keepLines w:val="0"/>
              <w:pageBreakBefore w:val="0"/>
              <w:widowControl/>
              <w:spacing w:line="360" w:lineRule="exact"/>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eastAsia="zh-CN"/>
              </w:rPr>
              <w:t>年</w:t>
            </w:r>
            <w:r>
              <w:rPr>
                <w:rFonts w:hint="eastAsia" w:ascii="宋体" w:hAnsi="宋体" w:eastAsia="宋体" w:cs="宋体"/>
                <w:color w:val="auto"/>
                <w:highlight w:val="none"/>
                <w:shd w:val="clear" w:color="auto" w:fill="auto"/>
              </w:rPr>
              <w:t>总价</w:t>
            </w:r>
          </w:p>
        </w:tc>
        <w:tc>
          <w:tcPr>
            <w:tcW w:w="2640" w:type="dxa"/>
            <w:vMerge w:val="restart"/>
            <w:noWrap w:val="0"/>
            <w:vAlign w:val="center"/>
          </w:tcPr>
          <w:p w14:paraId="05B63C81">
            <w:pPr>
              <w:keepNext w:val="0"/>
              <w:keepLines w:val="0"/>
              <w:pageBreakBefore w:val="0"/>
              <w:widowControl/>
              <w:spacing w:line="360" w:lineRule="exact"/>
              <w:jc w:val="left"/>
              <w:rPr>
                <w:rFonts w:hint="eastAsia" w:ascii="宋体" w:hAnsi="宋体" w:eastAsia="宋体" w:cs="宋体"/>
                <w:color w:val="auto"/>
                <w:highlight w:val="none"/>
                <w:shd w:val="clear" w:color="auto" w:fill="auto"/>
                <w:lang w:val="en-US" w:eastAsia="zh-CN"/>
              </w:rPr>
            </w:pPr>
            <w:r>
              <w:rPr>
                <w:rFonts w:hint="eastAsia" w:ascii="宋体" w:hAnsi="宋体" w:eastAsia="宋体" w:cs="宋体"/>
                <w:b/>
                <w:bCs/>
                <w:i/>
                <w:iCs/>
                <w:color w:val="auto"/>
                <w:sz w:val="21"/>
                <w:szCs w:val="21"/>
                <w:highlight w:val="none"/>
                <w:lang w:val="en-US" w:eastAsia="zh-CN"/>
              </w:rPr>
              <w:t>备注（要求必须完全响应，否则作无效标书处理）</w:t>
            </w:r>
          </w:p>
        </w:tc>
      </w:tr>
      <w:tr w14:paraId="2AFF8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795" w:type="dxa"/>
            <w:noWrap w:val="0"/>
            <w:vAlign w:val="center"/>
          </w:tcPr>
          <w:p w14:paraId="1062B1B7">
            <w:pPr>
              <w:keepNext w:val="0"/>
              <w:keepLines w:val="0"/>
              <w:pageBreakBefore w:val="0"/>
              <w:widowControl/>
              <w:spacing w:line="360" w:lineRule="exact"/>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1</w:t>
            </w:r>
          </w:p>
        </w:tc>
        <w:tc>
          <w:tcPr>
            <w:tcW w:w="2175" w:type="dxa"/>
            <w:noWrap w:val="0"/>
            <w:vAlign w:val="center"/>
          </w:tcPr>
          <w:p w14:paraId="1A55F3CF">
            <w:pPr>
              <w:keepNext w:val="0"/>
              <w:keepLines w:val="0"/>
              <w:pageBreakBefore w:val="0"/>
              <w:widowControl/>
              <w:spacing w:line="360" w:lineRule="exact"/>
              <w:jc w:val="center"/>
              <w:rPr>
                <w:rFonts w:hint="eastAsia" w:ascii="宋体" w:hAnsi="宋体" w:eastAsia="宋体" w:cs="宋体"/>
                <w:b/>
                <w:color w:val="auto"/>
                <w:highlight w:val="none"/>
                <w:shd w:val="clear" w:color="auto" w:fill="auto"/>
                <w:lang w:eastAsia="zh-CN"/>
              </w:rPr>
            </w:pPr>
            <w:r>
              <w:rPr>
                <w:rFonts w:hint="eastAsia" w:ascii="宋体" w:hAnsi="宋体" w:eastAsia="宋体" w:cs="宋体"/>
                <w:b/>
                <w:color w:val="auto"/>
                <w:highlight w:val="none"/>
                <w:shd w:val="clear" w:color="auto" w:fill="auto"/>
              </w:rPr>
              <w:t>人员工资、加班费、社保、住房公积金</w:t>
            </w:r>
            <w:r>
              <w:rPr>
                <w:rFonts w:hint="eastAsia" w:ascii="宋体" w:hAnsi="宋体" w:eastAsia="宋体" w:cs="宋体"/>
                <w:b/>
                <w:color w:val="auto"/>
                <w:highlight w:val="none"/>
                <w:shd w:val="clear" w:color="auto" w:fill="auto"/>
                <w:lang w:eastAsia="zh-CN"/>
              </w:rPr>
              <w:t>等</w:t>
            </w:r>
          </w:p>
        </w:tc>
        <w:tc>
          <w:tcPr>
            <w:tcW w:w="3082" w:type="dxa"/>
            <w:gridSpan w:val="3"/>
            <w:noWrap w:val="0"/>
            <w:vAlign w:val="center"/>
          </w:tcPr>
          <w:p w14:paraId="4EFEEB0B">
            <w:pPr>
              <w:keepNext w:val="0"/>
              <w:keepLines w:val="0"/>
              <w:pageBreakBefore w:val="0"/>
              <w:widowControl/>
              <w:spacing w:line="360" w:lineRule="exact"/>
              <w:jc w:val="center"/>
              <w:rPr>
                <w:rFonts w:hint="eastAsia" w:ascii="宋体" w:hAnsi="宋体" w:eastAsia="宋体" w:cs="宋体"/>
                <w:b/>
                <w:color w:val="auto"/>
                <w:highlight w:val="none"/>
                <w:shd w:val="clear" w:color="auto" w:fill="auto"/>
              </w:rPr>
            </w:pPr>
            <w:r>
              <w:rPr>
                <w:rFonts w:hint="eastAsia" w:ascii="宋体" w:hAnsi="宋体" w:eastAsia="宋体" w:cs="宋体"/>
                <w:b/>
                <w:sz w:val="21"/>
                <w:szCs w:val="21"/>
              </w:rPr>
              <w:t>（以下</w:t>
            </w:r>
            <w:r>
              <w:rPr>
                <w:rFonts w:hint="eastAsia" w:ascii="宋体" w:hAnsi="宋体" w:eastAsia="宋体" w:cs="宋体"/>
                <w:b/>
                <w:sz w:val="21"/>
                <w:szCs w:val="21"/>
                <w:lang w:val="en-US" w:eastAsia="zh-CN"/>
              </w:rPr>
              <w:t>各</w:t>
            </w:r>
            <w:r>
              <w:rPr>
                <w:rFonts w:hint="eastAsia" w:ascii="宋体" w:hAnsi="宋体" w:eastAsia="宋体" w:cs="宋体"/>
                <w:b/>
                <w:sz w:val="21"/>
                <w:szCs w:val="21"/>
              </w:rPr>
              <w:t>项合计）</w:t>
            </w:r>
          </w:p>
        </w:tc>
        <w:tc>
          <w:tcPr>
            <w:tcW w:w="1260" w:type="dxa"/>
            <w:noWrap w:val="0"/>
            <w:vAlign w:val="center"/>
          </w:tcPr>
          <w:p w14:paraId="679B5F15">
            <w:pPr>
              <w:keepNext w:val="0"/>
              <w:keepLines w:val="0"/>
              <w:pageBreakBefore w:val="0"/>
              <w:widowControl/>
              <w:spacing w:line="360" w:lineRule="exact"/>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 xml:space="preserve"> </w:t>
            </w:r>
          </w:p>
        </w:tc>
        <w:tc>
          <w:tcPr>
            <w:tcW w:w="2640" w:type="dxa"/>
            <w:vMerge w:val="continue"/>
            <w:noWrap w:val="0"/>
            <w:vAlign w:val="center"/>
          </w:tcPr>
          <w:p w14:paraId="3EE54044">
            <w:pPr>
              <w:keepNext w:val="0"/>
              <w:keepLines w:val="0"/>
              <w:pageBreakBefore w:val="0"/>
              <w:widowControl/>
              <w:spacing w:line="360" w:lineRule="exact"/>
              <w:jc w:val="left"/>
              <w:rPr>
                <w:rFonts w:hint="eastAsia" w:ascii="宋体" w:hAnsi="宋体" w:eastAsia="宋体" w:cs="宋体"/>
                <w:b/>
                <w:color w:val="auto"/>
                <w:highlight w:val="none"/>
                <w:shd w:val="clear" w:color="auto" w:fill="auto"/>
              </w:rPr>
            </w:pPr>
          </w:p>
        </w:tc>
      </w:tr>
      <w:tr w14:paraId="31E50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95" w:type="dxa"/>
            <w:noWrap w:val="0"/>
            <w:vAlign w:val="center"/>
          </w:tcPr>
          <w:p w14:paraId="12850A63">
            <w:pPr>
              <w:keepNext w:val="0"/>
              <w:keepLines w:val="0"/>
              <w:pageBreakBefore w:val="0"/>
              <w:widowControl/>
              <w:spacing w:line="360" w:lineRule="exact"/>
              <w:jc w:val="center"/>
              <w:rPr>
                <w:rFonts w:hint="default"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1.1</w:t>
            </w:r>
          </w:p>
        </w:tc>
        <w:tc>
          <w:tcPr>
            <w:tcW w:w="2175" w:type="dxa"/>
            <w:noWrap w:val="0"/>
            <w:vAlign w:val="center"/>
          </w:tcPr>
          <w:p w14:paraId="1D9E6C26">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项目负责人</w:t>
            </w:r>
          </w:p>
        </w:tc>
        <w:tc>
          <w:tcPr>
            <w:tcW w:w="892" w:type="dxa"/>
            <w:shd w:val="clear" w:color="auto" w:fill="auto"/>
            <w:noWrap w:val="0"/>
            <w:vAlign w:val="center"/>
          </w:tcPr>
          <w:p w14:paraId="5907175B">
            <w:pPr>
              <w:keepNext w:val="0"/>
              <w:keepLines w:val="0"/>
              <w:pageBreakBefore w:val="0"/>
              <w:widowControl/>
              <w:spacing w:line="360" w:lineRule="exact"/>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人*月</w:t>
            </w:r>
          </w:p>
        </w:tc>
        <w:tc>
          <w:tcPr>
            <w:tcW w:w="975" w:type="dxa"/>
            <w:noWrap w:val="0"/>
            <w:vAlign w:val="center"/>
          </w:tcPr>
          <w:p w14:paraId="4C6A8373">
            <w:pPr>
              <w:keepNext w:val="0"/>
              <w:keepLines w:val="0"/>
              <w:pageBreakBefore w:val="0"/>
              <w:widowControl/>
              <w:spacing w:line="360" w:lineRule="exact"/>
              <w:jc w:val="center"/>
              <w:rPr>
                <w:rFonts w:hint="default"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1</w:t>
            </w:r>
          </w:p>
        </w:tc>
        <w:tc>
          <w:tcPr>
            <w:tcW w:w="1215" w:type="dxa"/>
            <w:noWrap w:val="0"/>
            <w:vAlign w:val="center"/>
          </w:tcPr>
          <w:p w14:paraId="31B800EF">
            <w:pPr>
              <w:keepNext w:val="0"/>
              <w:keepLines w:val="0"/>
              <w:pageBreakBefore w:val="0"/>
              <w:widowControl/>
              <w:spacing w:line="360" w:lineRule="exact"/>
              <w:jc w:val="center"/>
              <w:rPr>
                <w:rFonts w:hint="default" w:ascii="宋体" w:hAnsi="宋体" w:eastAsia="宋体" w:cs="宋体"/>
                <w:color w:val="auto"/>
                <w:highlight w:val="none"/>
                <w:shd w:val="clear" w:color="auto" w:fill="auto"/>
                <w:lang w:val="en-US" w:eastAsia="zh-CN"/>
              </w:rPr>
            </w:pPr>
          </w:p>
        </w:tc>
        <w:tc>
          <w:tcPr>
            <w:tcW w:w="1260" w:type="dxa"/>
            <w:noWrap w:val="0"/>
            <w:vAlign w:val="center"/>
          </w:tcPr>
          <w:p w14:paraId="79AF4CE9">
            <w:pPr>
              <w:keepNext w:val="0"/>
              <w:keepLines w:val="0"/>
              <w:pageBreakBefore w:val="0"/>
              <w:widowControl/>
              <w:spacing w:line="360" w:lineRule="exact"/>
              <w:jc w:val="center"/>
              <w:rPr>
                <w:rFonts w:hint="eastAsia" w:ascii="宋体" w:hAnsi="宋体" w:eastAsia="宋体" w:cs="宋体"/>
                <w:color w:val="auto"/>
                <w:highlight w:val="none"/>
                <w:shd w:val="clear" w:color="auto" w:fill="auto"/>
              </w:rPr>
            </w:pPr>
          </w:p>
        </w:tc>
        <w:tc>
          <w:tcPr>
            <w:tcW w:w="2640" w:type="dxa"/>
            <w:noWrap w:val="0"/>
            <w:vAlign w:val="center"/>
          </w:tcPr>
          <w:p w14:paraId="63D43EC9">
            <w:pPr>
              <w:keepNext w:val="0"/>
              <w:keepLines w:val="0"/>
              <w:pageBreakBefore w:val="0"/>
              <w:widowControl/>
              <w:spacing w:line="360" w:lineRule="exact"/>
              <w:jc w:val="left"/>
              <w:rPr>
                <w:rFonts w:hint="eastAsia" w:ascii="宋体" w:hAnsi="宋体" w:eastAsia="宋体" w:cs="宋体"/>
                <w:color w:val="000000"/>
                <w:sz w:val="21"/>
                <w:szCs w:val="21"/>
              </w:rPr>
            </w:pPr>
            <w:r>
              <w:rPr>
                <w:rFonts w:hint="eastAsia" w:ascii="宋体" w:hAnsi="宋体" w:eastAsia="宋体" w:cs="宋体"/>
                <w:color w:val="000000"/>
                <w:sz w:val="21"/>
                <w:szCs w:val="21"/>
                <w:lang w:val="zh-CN"/>
              </w:rPr>
              <w:t>工资不低于</w:t>
            </w:r>
            <w:r>
              <w:rPr>
                <w:rFonts w:hint="eastAsia" w:ascii="宋体" w:hAnsi="宋体" w:eastAsia="宋体" w:cs="宋体"/>
                <w:color w:val="000000"/>
                <w:sz w:val="21"/>
                <w:szCs w:val="21"/>
                <w:lang w:val="en-US" w:eastAsia="zh-CN"/>
              </w:rPr>
              <w:t>6000.00</w:t>
            </w:r>
            <w:r>
              <w:rPr>
                <w:rFonts w:hint="eastAsia" w:ascii="宋体" w:hAnsi="宋体" w:eastAsia="宋体" w:cs="宋体"/>
                <w:color w:val="000000"/>
                <w:sz w:val="21"/>
                <w:szCs w:val="21"/>
                <w:lang w:val="zh-CN"/>
              </w:rPr>
              <w:t>元/人每月</w:t>
            </w:r>
          </w:p>
        </w:tc>
      </w:tr>
      <w:tr w14:paraId="71E5D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95" w:type="dxa"/>
            <w:noWrap w:val="0"/>
            <w:vAlign w:val="center"/>
          </w:tcPr>
          <w:p w14:paraId="619254EF">
            <w:pPr>
              <w:keepNext w:val="0"/>
              <w:keepLines w:val="0"/>
              <w:pageBreakBefore w:val="0"/>
              <w:widowControl/>
              <w:spacing w:line="360" w:lineRule="exact"/>
              <w:jc w:val="center"/>
              <w:rPr>
                <w:rFonts w:hint="default"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1.2</w:t>
            </w:r>
          </w:p>
        </w:tc>
        <w:tc>
          <w:tcPr>
            <w:tcW w:w="2175" w:type="dxa"/>
            <w:noWrap w:val="0"/>
            <w:vAlign w:val="center"/>
          </w:tcPr>
          <w:p w14:paraId="1C824B4A">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保安主管</w:t>
            </w:r>
          </w:p>
        </w:tc>
        <w:tc>
          <w:tcPr>
            <w:tcW w:w="892" w:type="dxa"/>
            <w:shd w:val="clear" w:color="auto" w:fill="auto"/>
            <w:noWrap w:val="0"/>
            <w:vAlign w:val="center"/>
          </w:tcPr>
          <w:p w14:paraId="6EF52D99">
            <w:pPr>
              <w:keepNext w:val="0"/>
              <w:keepLines w:val="0"/>
              <w:pageBreakBefore w:val="0"/>
              <w:widowControl/>
              <w:spacing w:line="360" w:lineRule="exact"/>
              <w:jc w:val="center"/>
              <w:rPr>
                <w:rFonts w:hint="eastAsia" w:ascii="宋体" w:hAnsi="宋体" w:eastAsia="宋体" w:cs="宋体"/>
                <w:color w:val="000000"/>
                <w:sz w:val="21"/>
                <w:szCs w:val="21"/>
                <w:lang w:val="en-US" w:eastAsia="zh-CN"/>
              </w:rPr>
            </w:pPr>
            <w:r>
              <w:rPr>
                <w:rFonts w:hint="eastAsia"/>
              </w:rPr>
              <w:t>人*月</w:t>
            </w:r>
          </w:p>
        </w:tc>
        <w:tc>
          <w:tcPr>
            <w:tcW w:w="975" w:type="dxa"/>
            <w:noWrap w:val="0"/>
            <w:vAlign w:val="center"/>
          </w:tcPr>
          <w:p w14:paraId="30F51F2F">
            <w:pPr>
              <w:keepNext w:val="0"/>
              <w:keepLines w:val="0"/>
              <w:pageBreakBefore w:val="0"/>
              <w:widowControl/>
              <w:spacing w:line="360" w:lineRule="exact"/>
              <w:jc w:val="center"/>
              <w:rPr>
                <w:rFonts w:hint="default"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1</w:t>
            </w:r>
          </w:p>
        </w:tc>
        <w:tc>
          <w:tcPr>
            <w:tcW w:w="1215" w:type="dxa"/>
            <w:noWrap w:val="0"/>
            <w:vAlign w:val="center"/>
          </w:tcPr>
          <w:p w14:paraId="3C3D409E">
            <w:pPr>
              <w:keepNext w:val="0"/>
              <w:keepLines w:val="0"/>
              <w:pageBreakBefore w:val="0"/>
              <w:widowControl/>
              <w:spacing w:line="360" w:lineRule="exact"/>
              <w:jc w:val="center"/>
              <w:rPr>
                <w:rFonts w:hint="default" w:ascii="宋体" w:hAnsi="宋体" w:eastAsia="宋体" w:cs="宋体"/>
                <w:color w:val="auto"/>
                <w:highlight w:val="none"/>
                <w:shd w:val="clear" w:color="auto" w:fill="auto"/>
                <w:lang w:val="en-US" w:eastAsia="zh-CN"/>
              </w:rPr>
            </w:pPr>
          </w:p>
        </w:tc>
        <w:tc>
          <w:tcPr>
            <w:tcW w:w="1260" w:type="dxa"/>
            <w:noWrap w:val="0"/>
            <w:vAlign w:val="center"/>
          </w:tcPr>
          <w:p w14:paraId="6697609C">
            <w:pPr>
              <w:keepNext w:val="0"/>
              <w:keepLines w:val="0"/>
              <w:pageBreakBefore w:val="0"/>
              <w:widowControl/>
              <w:spacing w:line="360" w:lineRule="exact"/>
              <w:jc w:val="center"/>
              <w:rPr>
                <w:rFonts w:hint="eastAsia" w:ascii="宋体" w:hAnsi="宋体" w:eastAsia="宋体" w:cs="宋体"/>
                <w:color w:val="auto"/>
                <w:highlight w:val="none"/>
                <w:shd w:val="clear" w:color="auto" w:fill="auto"/>
              </w:rPr>
            </w:pPr>
          </w:p>
        </w:tc>
        <w:tc>
          <w:tcPr>
            <w:tcW w:w="2640" w:type="dxa"/>
            <w:noWrap w:val="0"/>
            <w:vAlign w:val="center"/>
          </w:tcPr>
          <w:p w14:paraId="4E1DCE70">
            <w:pPr>
              <w:keepNext w:val="0"/>
              <w:keepLines w:val="0"/>
              <w:pageBreakBefore w:val="0"/>
              <w:widowControl/>
              <w:spacing w:line="360" w:lineRule="exact"/>
              <w:jc w:val="left"/>
              <w:rPr>
                <w:rFonts w:hint="eastAsia" w:ascii="宋体" w:hAnsi="宋体" w:eastAsia="宋体" w:cs="宋体"/>
                <w:color w:val="000000"/>
                <w:sz w:val="21"/>
                <w:szCs w:val="21"/>
              </w:rPr>
            </w:pPr>
            <w:r>
              <w:rPr>
                <w:rFonts w:hint="eastAsia" w:ascii="宋体" w:hAnsi="宋体" w:eastAsia="宋体" w:cs="宋体"/>
                <w:color w:val="000000"/>
                <w:sz w:val="21"/>
                <w:szCs w:val="21"/>
                <w:lang w:val="zh-CN"/>
              </w:rPr>
              <w:t>工资不低于</w:t>
            </w:r>
            <w:r>
              <w:rPr>
                <w:rFonts w:hint="eastAsia" w:ascii="宋体" w:hAnsi="宋体" w:eastAsia="宋体" w:cs="宋体"/>
                <w:color w:val="000000"/>
                <w:sz w:val="21"/>
                <w:szCs w:val="21"/>
                <w:lang w:val="en-US" w:eastAsia="zh-CN"/>
              </w:rPr>
              <w:t>5000.00</w:t>
            </w:r>
            <w:r>
              <w:rPr>
                <w:rFonts w:hint="eastAsia" w:ascii="宋体" w:hAnsi="宋体" w:eastAsia="宋体" w:cs="宋体"/>
                <w:color w:val="000000"/>
                <w:sz w:val="21"/>
                <w:szCs w:val="21"/>
                <w:lang w:val="zh-CN"/>
              </w:rPr>
              <w:t>元/人每月</w:t>
            </w:r>
          </w:p>
        </w:tc>
      </w:tr>
      <w:tr w14:paraId="18FA5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95" w:type="dxa"/>
            <w:noWrap w:val="0"/>
            <w:vAlign w:val="center"/>
          </w:tcPr>
          <w:p w14:paraId="4B932EA1">
            <w:pPr>
              <w:keepNext w:val="0"/>
              <w:keepLines w:val="0"/>
              <w:pageBreakBefore w:val="0"/>
              <w:widowControl/>
              <w:spacing w:line="360" w:lineRule="exact"/>
              <w:jc w:val="center"/>
              <w:rPr>
                <w:rFonts w:hint="default"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1.3</w:t>
            </w:r>
          </w:p>
        </w:tc>
        <w:tc>
          <w:tcPr>
            <w:tcW w:w="2175" w:type="dxa"/>
            <w:noWrap w:val="0"/>
            <w:vAlign w:val="center"/>
          </w:tcPr>
          <w:p w14:paraId="50119CF1">
            <w:pPr>
              <w:keepNext w:val="0"/>
              <w:keepLines w:val="0"/>
              <w:pageBreakBefore w:val="0"/>
              <w:widowControl/>
              <w:spacing w:line="3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维修人员</w:t>
            </w:r>
          </w:p>
        </w:tc>
        <w:tc>
          <w:tcPr>
            <w:tcW w:w="892" w:type="dxa"/>
            <w:shd w:val="clear" w:color="auto" w:fill="auto"/>
            <w:noWrap w:val="0"/>
            <w:vAlign w:val="center"/>
          </w:tcPr>
          <w:p w14:paraId="5B9D7564">
            <w:pPr>
              <w:keepNext w:val="0"/>
              <w:keepLines w:val="0"/>
              <w:pageBreakBefore w:val="0"/>
              <w:widowControl/>
              <w:spacing w:line="360" w:lineRule="exact"/>
              <w:jc w:val="center"/>
              <w:rPr>
                <w:rFonts w:hint="eastAsia" w:ascii="宋体" w:hAnsi="宋体" w:eastAsia="宋体" w:cs="宋体"/>
                <w:color w:val="000000"/>
                <w:sz w:val="21"/>
                <w:szCs w:val="21"/>
                <w:lang w:val="en-US" w:eastAsia="zh-CN"/>
              </w:rPr>
            </w:pPr>
            <w:r>
              <w:rPr>
                <w:rFonts w:hint="eastAsia"/>
              </w:rPr>
              <w:t>人*月</w:t>
            </w:r>
          </w:p>
        </w:tc>
        <w:tc>
          <w:tcPr>
            <w:tcW w:w="975" w:type="dxa"/>
            <w:noWrap w:val="0"/>
            <w:vAlign w:val="center"/>
          </w:tcPr>
          <w:p w14:paraId="4D247219">
            <w:pPr>
              <w:keepNext w:val="0"/>
              <w:keepLines w:val="0"/>
              <w:pageBreakBefore w:val="0"/>
              <w:widowControl/>
              <w:spacing w:line="360" w:lineRule="exact"/>
              <w:jc w:val="center"/>
              <w:rPr>
                <w:rFonts w:hint="default"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2</w:t>
            </w:r>
          </w:p>
        </w:tc>
        <w:tc>
          <w:tcPr>
            <w:tcW w:w="1215" w:type="dxa"/>
            <w:noWrap w:val="0"/>
            <w:vAlign w:val="center"/>
          </w:tcPr>
          <w:p w14:paraId="32234F5C">
            <w:pPr>
              <w:keepNext w:val="0"/>
              <w:keepLines w:val="0"/>
              <w:pageBreakBefore w:val="0"/>
              <w:widowControl/>
              <w:spacing w:line="360" w:lineRule="exact"/>
              <w:jc w:val="center"/>
              <w:rPr>
                <w:rFonts w:hint="default" w:ascii="宋体" w:hAnsi="宋体" w:eastAsia="宋体" w:cs="宋体"/>
                <w:color w:val="auto"/>
                <w:highlight w:val="none"/>
                <w:shd w:val="clear" w:color="auto" w:fill="auto"/>
                <w:lang w:val="en-US" w:eastAsia="zh-CN"/>
              </w:rPr>
            </w:pPr>
          </w:p>
        </w:tc>
        <w:tc>
          <w:tcPr>
            <w:tcW w:w="1260" w:type="dxa"/>
            <w:noWrap w:val="0"/>
            <w:vAlign w:val="center"/>
          </w:tcPr>
          <w:p w14:paraId="174B7644">
            <w:pPr>
              <w:keepNext w:val="0"/>
              <w:keepLines w:val="0"/>
              <w:pageBreakBefore w:val="0"/>
              <w:widowControl/>
              <w:spacing w:line="360" w:lineRule="exact"/>
              <w:jc w:val="center"/>
              <w:rPr>
                <w:rFonts w:hint="eastAsia" w:ascii="宋体" w:hAnsi="宋体" w:eastAsia="宋体" w:cs="宋体"/>
                <w:color w:val="auto"/>
                <w:highlight w:val="none"/>
                <w:shd w:val="clear" w:color="auto" w:fill="auto"/>
              </w:rPr>
            </w:pPr>
          </w:p>
        </w:tc>
        <w:tc>
          <w:tcPr>
            <w:tcW w:w="2640" w:type="dxa"/>
            <w:noWrap w:val="0"/>
            <w:vAlign w:val="center"/>
          </w:tcPr>
          <w:p w14:paraId="5A169B07">
            <w:pPr>
              <w:keepNext w:val="0"/>
              <w:keepLines w:val="0"/>
              <w:pageBreakBefore w:val="0"/>
              <w:widowControl/>
              <w:spacing w:line="360" w:lineRule="exact"/>
              <w:jc w:val="left"/>
              <w:rPr>
                <w:rFonts w:hint="eastAsia" w:ascii="宋体" w:hAnsi="宋体" w:eastAsia="宋体" w:cs="宋体"/>
                <w:color w:val="000000"/>
                <w:sz w:val="21"/>
                <w:szCs w:val="21"/>
              </w:rPr>
            </w:pPr>
            <w:r>
              <w:rPr>
                <w:rFonts w:hint="eastAsia" w:ascii="宋体" w:hAnsi="宋体" w:eastAsia="宋体" w:cs="宋体"/>
                <w:color w:val="000000"/>
                <w:sz w:val="21"/>
                <w:szCs w:val="21"/>
                <w:lang w:val="zh-CN"/>
              </w:rPr>
              <w:t>工资不低于</w:t>
            </w:r>
            <w:r>
              <w:rPr>
                <w:rFonts w:hint="eastAsia" w:ascii="宋体" w:hAnsi="宋体" w:eastAsia="宋体" w:cs="宋体"/>
                <w:color w:val="000000"/>
                <w:sz w:val="21"/>
                <w:szCs w:val="21"/>
                <w:lang w:val="en-US" w:eastAsia="zh-CN"/>
              </w:rPr>
              <w:t>5000.00</w:t>
            </w:r>
            <w:r>
              <w:rPr>
                <w:rFonts w:hint="eastAsia" w:ascii="宋体" w:hAnsi="宋体" w:eastAsia="宋体" w:cs="宋体"/>
                <w:color w:val="000000"/>
                <w:sz w:val="21"/>
                <w:szCs w:val="21"/>
                <w:lang w:val="zh-CN"/>
              </w:rPr>
              <w:t>元/人每月</w:t>
            </w:r>
          </w:p>
        </w:tc>
      </w:tr>
      <w:tr w14:paraId="39CFD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95" w:type="dxa"/>
            <w:noWrap w:val="0"/>
            <w:vAlign w:val="center"/>
          </w:tcPr>
          <w:p w14:paraId="537A8DCC">
            <w:pPr>
              <w:keepNext w:val="0"/>
              <w:keepLines w:val="0"/>
              <w:pageBreakBefore w:val="0"/>
              <w:widowControl/>
              <w:spacing w:line="360" w:lineRule="exact"/>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1.4</w:t>
            </w:r>
            <w:r>
              <w:rPr>
                <w:rFonts w:hint="eastAsia" w:ascii="宋体" w:hAnsi="宋体" w:eastAsia="宋体" w:cs="宋体"/>
                <w:color w:val="auto"/>
                <w:highlight w:val="none"/>
                <w:shd w:val="clear" w:color="auto" w:fill="auto"/>
              </w:rPr>
              <w:t>　</w:t>
            </w:r>
          </w:p>
        </w:tc>
        <w:tc>
          <w:tcPr>
            <w:tcW w:w="2175" w:type="dxa"/>
            <w:noWrap w:val="0"/>
            <w:vAlign w:val="center"/>
          </w:tcPr>
          <w:p w14:paraId="274D09F3">
            <w:pPr>
              <w:keepNext w:val="0"/>
              <w:keepLines w:val="0"/>
              <w:pageBreakBefore w:val="0"/>
              <w:widowControl/>
              <w:spacing w:line="360" w:lineRule="exact"/>
              <w:jc w:val="center"/>
              <w:rPr>
                <w:rFonts w:hint="eastAsia" w:ascii="宋体" w:hAnsi="宋体" w:eastAsia="宋体" w:cs="宋体"/>
                <w:color w:val="auto"/>
                <w:highlight w:val="none"/>
                <w:shd w:val="clear" w:color="auto" w:fill="auto"/>
              </w:rPr>
            </w:pPr>
            <w:r>
              <w:rPr>
                <w:rFonts w:hint="eastAsia" w:ascii="宋体" w:hAnsi="宋体" w:eastAsia="宋体" w:cs="宋体"/>
                <w:color w:val="auto"/>
                <w:sz w:val="21"/>
                <w:szCs w:val="21"/>
                <w:highlight w:val="none"/>
                <w:lang w:val="en-US" w:eastAsia="zh-CN"/>
              </w:rPr>
              <w:t>保安</w:t>
            </w:r>
          </w:p>
        </w:tc>
        <w:tc>
          <w:tcPr>
            <w:tcW w:w="892" w:type="dxa"/>
            <w:shd w:val="clear" w:color="auto" w:fill="auto"/>
            <w:noWrap w:val="0"/>
            <w:vAlign w:val="center"/>
          </w:tcPr>
          <w:p w14:paraId="05E20920">
            <w:pPr>
              <w:keepNext w:val="0"/>
              <w:keepLines w:val="0"/>
              <w:pageBreakBefore w:val="0"/>
              <w:widowControl/>
              <w:spacing w:line="360" w:lineRule="exac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sz w:val="21"/>
                <w:szCs w:val="21"/>
                <w:lang w:val="en-US" w:eastAsia="zh-CN"/>
              </w:rPr>
              <w:t>人*月</w:t>
            </w:r>
          </w:p>
        </w:tc>
        <w:tc>
          <w:tcPr>
            <w:tcW w:w="975" w:type="dxa"/>
            <w:noWrap w:val="0"/>
            <w:vAlign w:val="center"/>
          </w:tcPr>
          <w:p w14:paraId="5AA8A5F9">
            <w:pPr>
              <w:keepNext w:val="0"/>
              <w:keepLines w:val="0"/>
              <w:pageBreakBefore w:val="0"/>
              <w:widowControl/>
              <w:spacing w:line="360" w:lineRule="exact"/>
              <w:jc w:val="center"/>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11 </w:t>
            </w:r>
          </w:p>
        </w:tc>
        <w:tc>
          <w:tcPr>
            <w:tcW w:w="1215" w:type="dxa"/>
            <w:noWrap w:val="0"/>
            <w:vAlign w:val="center"/>
          </w:tcPr>
          <w:p w14:paraId="32327387">
            <w:pPr>
              <w:keepNext w:val="0"/>
              <w:keepLines w:val="0"/>
              <w:pageBreakBefore w:val="0"/>
              <w:widowControl/>
              <w:spacing w:line="360" w:lineRule="exact"/>
              <w:jc w:val="center"/>
              <w:rPr>
                <w:rFonts w:hint="default" w:ascii="宋体" w:hAnsi="宋体" w:eastAsia="宋体" w:cs="宋体"/>
                <w:color w:val="auto"/>
                <w:highlight w:val="none"/>
                <w:shd w:val="clear" w:color="auto" w:fill="auto"/>
                <w:lang w:val="en-US" w:eastAsia="zh-CN"/>
              </w:rPr>
            </w:pPr>
          </w:p>
        </w:tc>
        <w:tc>
          <w:tcPr>
            <w:tcW w:w="1260" w:type="dxa"/>
            <w:noWrap w:val="0"/>
            <w:vAlign w:val="center"/>
          </w:tcPr>
          <w:p w14:paraId="4ADD3C0D">
            <w:pPr>
              <w:keepNext w:val="0"/>
              <w:keepLines w:val="0"/>
              <w:pageBreakBefore w:val="0"/>
              <w:widowControl/>
              <w:spacing w:line="360" w:lineRule="exact"/>
              <w:jc w:val="center"/>
              <w:rPr>
                <w:rFonts w:hint="eastAsia" w:ascii="宋体" w:hAnsi="宋体" w:eastAsia="宋体" w:cs="宋体"/>
                <w:color w:val="auto"/>
                <w:highlight w:val="none"/>
                <w:shd w:val="clear" w:color="auto" w:fill="auto"/>
              </w:rPr>
            </w:pPr>
          </w:p>
        </w:tc>
        <w:tc>
          <w:tcPr>
            <w:tcW w:w="2640" w:type="dxa"/>
            <w:noWrap w:val="0"/>
            <w:vAlign w:val="center"/>
          </w:tcPr>
          <w:p w14:paraId="4FE7D402">
            <w:pPr>
              <w:keepNext w:val="0"/>
              <w:keepLines w:val="0"/>
              <w:pageBreakBefore w:val="0"/>
              <w:widowControl/>
              <w:spacing w:line="360" w:lineRule="exact"/>
              <w:jc w:val="left"/>
              <w:rPr>
                <w:rFonts w:hint="eastAsia" w:ascii="宋体" w:hAnsi="宋体" w:eastAsia="宋体" w:cs="宋体"/>
                <w:color w:val="auto"/>
                <w:highlight w:val="none"/>
                <w:shd w:val="clear" w:color="auto" w:fill="auto"/>
              </w:rPr>
            </w:pPr>
            <w:r>
              <w:rPr>
                <w:rFonts w:hint="eastAsia" w:ascii="宋体" w:hAnsi="宋体" w:eastAsia="宋体" w:cs="宋体"/>
                <w:color w:val="000000"/>
                <w:sz w:val="21"/>
                <w:szCs w:val="21"/>
              </w:rPr>
              <w:t>所提供人员</w:t>
            </w:r>
            <w:r>
              <w:rPr>
                <w:rFonts w:hint="eastAsia" w:ascii="宋体" w:hAnsi="宋体" w:eastAsia="宋体" w:cs="宋体"/>
                <w:color w:val="000000"/>
                <w:sz w:val="21"/>
                <w:szCs w:val="21"/>
                <w:lang w:val="en-US" w:eastAsia="zh-CN"/>
              </w:rPr>
              <w:t>工资按12个月进行测算且</w:t>
            </w:r>
            <w:r>
              <w:rPr>
                <w:rFonts w:hint="eastAsia" w:ascii="宋体" w:hAnsi="宋体" w:eastAsia="宋体" w:cs="宋体"/>
                <w:color w:val="000000"/>
                <w:sz w:val="21"/>
                <w:szCs w:val="21"/>
              </w:rPr>
              <w:t>不得低于本县最新公布的最低工资标准（2</w:t>
            </w:r>
            <w:r>
              <w:rPr>
                <w:rFonts w:hint="eastAsia" w:ascii="宋体" w:hAnsi="宋体" w:eastAsia="宋体" w:cs="宋体"/>
                <w:color w:val="000000"/>
                <w:sz w:val="21"/>
                <w:szCs w:val="21"/>
                <w:lang w:val="en-US" w:eastAsia="zh-CN"/>
              </w:rPr>
              <w:t>180</w:t>
            </w:r>
            <w:r>
              <w:rPr>
                <w:rFonts w:hint="eastAsia" w:ascii="宋体" w:hAnsi="宋体" w:eastAsia="宋体" w:cs="宋体"/>
                <w:color w:val="000000"/>
                <w:sz w:val="21"/>
                <w:szCs w:val="21"/>
              </w:rPr>
              <w:t>元/人每月）</w:t>
            </w:r>
            <w:r>
              <w:rPr>
                <w:rFonts w:hint="eastAsia" w:ascii="宋体" w:hAnsi="宋体" w:eastAsia="宋体" w:cs="宋体"/>
                <w:color w:val="000000"/>
                <w:sz w:val="21"/>
                <w:szCs w:val="21"/>
                <w:lang w:eastAsia="zh-CN"/>
              </w:rPr>
              <w:t>。</w:t>
            </w:r>
          </w:p>
        </w:tc>
      </w:tr>
      <w:tr w14:paraId="73366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95" w:type="dxa"/>
            <w:noWrap w:val="0"/>
            <w:vAlign w:val="center"/>
          </w:tcPr>
          <w:p w14:paraId="6155225E">
            <w:pPr>
              <w:keepNext w:val="0"/>
              <w:keepLines w:val="0"/>
              <w:pageBreakBefore w:val="0"/>
              <w:widowControl/>
              <w:spacing w:line="360" w:lineRule="exact"/>
              <w:jc w:val="center"/>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1.5</w:t>
            </w:r>
          </w:p>
        </w:tc>
        <w:tc>
          <w:tcPr>
            <w:tcW w:w="2175" w:type="dxa"/>
            <w:noWrap w:val="0"/>
            <w:vAlign w:val="center"/>
          </w:tcPr>
          <w:p w14:paraId="03A975AD">
            <w:pPr>
              <w:keepNext w:val="0"/>
              <w:keepLines w:val="0"/>
              <w:pageBreakBefore w:val="0"/>
              <w:widowControl/>
              <w:spacing w:line="360" w:lineRule="exact"/>
              <w:jc w:val="center"/>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保洁</w:t>
            </w:r>
          </w:p>
        </w:tc>
        <w:tc>
          <w:tcPr>
            <w:tcW w:w="892" w:type="dxa"/>
            <w:shd w:val="clear" w:color="auto" w:fill="auto"/>
            <w:noWrap w:val="0"/>
            <w:vAlign w:val="center"/>
          </w:tcPr>
          <w:p w14:paraId="378E370C">
            <w:pPr>
              <w:keepNext w:val="0"/>
              <w:keepLines w:val="0"/>
              <w:pageBreakBefore w:val="0"/>
              <w:widowControl/>
              <w:spacing w:line="360" w:lineRule="exac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sz w:val="21"/>
                <w:szCs w:val="21"/>
                <w:lang w:val="en-US" w:eastAsia="zh-CN"/>
              </w:rPr>
              <w:t>人*月</w:t>
            </w:r>
          </w:p>
        </w:tc>
        <w:tc>
          <w:tcPr>
            <w:tcW w:w="975" w:type="dxa"/>
            <w:noWrap w:val="0"/>
            <w:vAlign w:val="center"/>
          </w:tcPr>
          <w:p w14:paraId="719B1EA3">
            <w:pPr>
              <w:keepNext w:val="0"/>
              <w:keepLines w:val="0"/>
              <w:pageBreakBefore w:val="0"/>
              <w:widowControl/>
              <w:spacing w:line="360" w:lineRule="exact"/>
              <w:jc w:val="center"/>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7 </w:t>
            </w:r>
          </w:p>
        </w:tc>
        <w:tc>
          <w:tcPr>
            <w:tcW w:w="1215" w:type="dxa"/>
            <w:noWrap w:val="0"/>
            <w:vAlign w:val="center"/>
          </w:tcPr>
          <w:p w14:paraId="6901D2AC">
            <w:pPr>
              <w:keepNext w:val="0"/>
              <w:keepLines w:val="0"/>
              <w:pageBreakBefore w:val="0"/>
              <w:widowControl/>
              <w:spacing w:line="360" w:lineRule="exact"/>
              <w:jc w:val="center"/>
              <w:rPr>
                <w:rFonts w:hint="default" w:ascii="宋体" w:hAnsi="宋体" w:eastAsia="宋体" w:cs="宋体"/>
                <w:color w:val="auto"/>
                <w:highlight w:val="none"/>
                <w:shd w:val="clear" w:color="auto" w:fill="auto"/>
                <w:lang w:val="en-US" w:eastAsia="zh-CN"/>
              </w:rPr>
            </w:pPr>
          </w:p>
        </w:tc>
        <w:tc>
          <w:tcPr>
            <w:tcW w:w="1260" w:type="dxa"/>
            <w:noWrap w:val="0"/>
            <w:vAlign w:val="center"/>
          </w:tcPr>
          <w:p w14:paraId="2B9C442E">
            <w:pPr>
              <w:keepNext w:val="0"/>
              <w:keepLines w:val="0"/>
              <w:pageBreakBefore w:val="0"/>
              <w:widowControl/>
              <w:spacing w:line="360" w:lineRule="exact"/>
              <w:jc w:val="center"/>
              <w:rPr>
                <w:rFonts w:hint="eastAsia" w:ascii="宋体" w:hAnsi="宋体" w:eastAsia="宋体" w:cs="宋体"/>
                <w:color w:val="auto"/>
                <w:highlight w:val="none"/>
                <w:shd w:val="clear" w:color="auto" w:fill="auto"/>
              </w:rPr>
            </w:pPr>
          </w:p>
        </w:tc>
        <w:tc>
          <w:tcPr>
            <w:tcW w:w="2640" w:type="dxa"/>
            <w:noWrap w:val="0"/>
            <w:vAlign w:val="center"/>
          </w:tcPr>
          <w:p w14:paraId="359F4A43">
            <w:pPr>
              <w:keepNext w:val="0"/>
              <w:keepLines w:val="0"/>
              <w:pageBreakBefore w:val="0"/>
              <w:widowControl/>
              <w:spacing w:line="360" w:lineRule="exact"/>
              <w:jc w:val="left"/>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000000"/>
                <w:sz w:val="21"/>
                <w:szCs w:val="21"/>
              </w:rPr>
              <w:t>所提供人员</w:t>
            </w:r>
            <w:r>
              <w:rPr>
                <w:rFonts w:hint="eastAsia" w:ascii="宋体" w:hAnsi="宋体" w:eastAsia="宋体" w:cs="宋体"/>
                <w:color w:val="000000"/>
                <w:sz w:val="21"/>
                <w:szCs w:val="21"/>
                <w:lang w:val="en-US" w:eastAsia="zh-CN"/>
              </w:rPr>
              <w:t>工资按12个月进行测算且</w:t>
            </w:r>
            <w:r>
              <w:rPr>
                <w:rFonts w:hint="eastAsia" w:ascii="宋体" w:hAnsi="宋体" w:eastAsia="宋体" w:cs="宋体"/>
                <w:color w:val="000000"/>
                <w:sz w:val="21"/>
                <w:szCs w:val="21"/>
              </w:rPr>
              <w:t>不得低于本县最新公布的最低工资标准（2</w:t>
            </w:r>
            <w:r>
              <w:rPr>
                <w:rFonts w:hint="eastAsia" w:ascii="宋体" w:hAnsi="宋体" w:eastAsia="宋体" w:cs="宋体"/>
                <w:color w:val="000000"/>
                <w:sz w:val="21"/>
                <w:szCs w:val="21"/>
                <w:lang w:val="en-US" w:eastAsia="zh-CN"/>
              </w:rPr>
              <w:t>180</w:t>
            </w:r>
            <w:r>
              <w:rPr>
                <w:rFonts w:hint="eastAsia" w:ascii="宋体" w:hAnsi="宋体" w:eastAsia="宋体" w:cs="宋体"/>
                <w:color w:val="000000"/>
                <w:sz w:val="21"/>
                <w:szCs w:val="21"/>
              </w:rPr>
              <w:t>元/人每月）</w:t>
            </w:r>
            <w:r>
              <w:rPr>
                <w:rFonts w:hint="eastAsia" w:ascii="宋体" w:hAnsi="宋体" w:eastAsia="宋体" w:cs="宋体"/>
                <w:color w:val="000000"/>
                <w:sz w:val="21"/>
                <w:szCs w:val="21"/>
                <w:lang w:eastAsia="zh-CN"/>
              </w:rPr>
              <w:t>。</w:t>
            </w:r>
          </w:p>
        </w:tc>
      </w:tr>
      <w:tr w14:paraId="65297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95" w:type="dxa"/>
            <w:noWrap w:val="0"/>
            <w:vAlign w:val="center"/>
          </w:tcPr>
          <w:p w14:paraId="2C5326A4">
            <w:pPr>
              <w:keepNext w:val="0"/>
              <w:keepLines w:val="0"/>
              <w:pageBreakBefore w:val="0"/>
              <w:widowControl/>
              <w:spacing w:line="360" w:lineRule="exact"/>
              <w:jc w:val="center"/>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1.6</w:t>
            </w:r>
          </w:p>
        </w:tc>
        <w:tc>
          <w:tcPr>
            <w:tcW w:w="2175" w:type="dxa"/>
            <w:noWrap w:val="0"/>
            <w:vAlign w:val="center"/>
          </w:tcPr>
          <w:p w14:paraId="7AB36290">
            <w:pPr>
              <w:keepNext w:val="0"/>
              <w:keepLines w:val="0"/>
              <w:pageBreakBefore w:val="0"/>
              <w:widowControl/>
              <w:spacing w:line="360" w:lineRule="exact"/>
              <w:jc w:val="center"/>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rPr>
              <w:t>社保</w:t>
            </w:r>
          </w:p>
        </w:tc>
        <w:tc>
          <w:tcPr>
            <w:tcW w:w="892" w:type="dxa"/>
            <w:shd w:val="clear" w:color="auto" w:fill="auto"/>
            <w:noWrap w:val="0"/>
            <w:vAlign w:val="center"/>
          </w:tcPr>
          <w:p w14:paraId="6217286D">
            <w:pPr>
              <w:keepNext w:val="0"/>
              <w:keepLines w:val="0"/>
              <w:pageBreakBefore w:val="0"/>
              <w:widowControl/>
              <w:spacing w:line="360" w:lineRule="exac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sz w:val="21"/>
                <w:szCs w:val="21"/>
                <w:lang w:val="en-US" w:eastAsia="zh-CN"/>
              </w:rPr>
              <w:t>人*月</w:t>
            </w:r>
          </w:p>
        </w:tc>
        <w:tc>
          <w:tcPr>
            <w:tcW w:w="975" w:type="dxa"/>
            <w:noWrap w:val="0"/>
            <w:vAlign w:val="center"/>
          </w:tcPr>
          <w:p w14:paraId="135727C4">
            <w:pPr>
              <w:keepNext w:val="0"/>
              <w:keepLines w:val="0"/>
              <w:pageBreakBefore w:val="0"/>
              <w:widowControl/>
              <w:spacing w:line="360" w:lineRule="exact"/>
              <w:jc w:val="center"/>
              <w:rPr>
                <w:rFonts w:hint="default"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 22</w:t>
            </w:r>
          </w:p>
        </w:tc>
        <w:tc>
          <w:tcPr>
            <w:tcW w:w="1215" w:type="dxa"/>
            <w:noWrap w:val="0"/>
            <w:vAlign w:val="center"/>
          </w:tcPr>
          <w:p w14:paraId="5DF3C137">
            <w:pPr>
              <w:keepNext w:val="0"/>
              <w:keepLines w:val="0"/>
              <w:pageBreakBefore w:val="0"/>
              <w:widowControl/>
              <w:spacing w:line="360" w:lineRule="exact"/>
              <w:jc w:val="center"/>
              <w:rPr>
                <w:rFonts w:hint="default" w:ascii="宋体" w:hAnsi="宋体" w:eastAsia="宋体" w:cs="宋体"/>
                <w:color w:val="auto"/>
                <w:highlight w:val="none"/>
                <w:shd w:val="clear" w:color="auto" w:fill="auto"/>
                <w:lang w:val="en-US" w:eastAsia="zh-CN"/>
              </w:rPr>
            </w:pPr>
          </w:p>
        </w:tc>
        <w:tc>
          <w:tcPr>
            <w:tcW w:w="1260" w:type="dxa"/>
            <w:noWrap w:val="0"/>
            <w:vAlign w:val="center"/>
          </w:tcPr>
          <w:p w14:paraId="75D738CA">
            <w:pPr>
              <w:keepNext w:val="0"/>
              <w:keepLines w:val="0"/>
              <w:pageBreakBefore w:val="0"/>
              <w:widowControl/>
              <w:spacing w:line="360" w:lineRule="exact"/>
              <w:jc w:val="center"/>
              <w:rPr>
                <w:rFonts w:hint="eastAsia" w:ascii="宋体" w:hAnsi="宋体" w:eastAsia="宋体" w:cs="宋体"/>
                <w:color w:val="auto"/>
                <w:highlight w:val="none"/>
                <w:shd w:val="clear" w:color="auto" w:fill="auto"/>
              </w:rPr>
            </w:pPr>
          </w:p>
        </w:tc>
        <w:tc>
          <w:tcPr>
            <w:tcW w:w="2640" w:type="dxa"/>
            <w:noWrap w:val="0"/>
            <w:vAlign w:val="center"/>
          </w:tcPr>
          <w:p w14:paraId="604FEB4C">
            <w:pPr>
              <w:keepNext w:val="0"/>
              <w:keepLines w:val="0"/>
              <w:pageBreakBefore w:val="0"/>
              <w:widowControl/>
              <w:spacing w:line="360" w:lineRule="exact"/>
              <w:jc w:val="left"/>
              <w:rPr>
                <w:rFonts w:hint="eastAsia" w:ascii="宋体" w:hAnsi="宋体" w:eastAsia="宋体" w:cs="宋体"/>
                <w:color w:val="auto"/>
                <w:highlight w:val="yellow"/>
                <w:shd w:val="clear" w:color="auto" w:fill="auto"/>
                <w:lang w:val="en-US" w:eastAsia="zh-CN"/>
              </w:rPr>
            </w:pPr>
            <w:r>
              <w:rPr>
                <w:rFonts w:hint="eastAsia" w:ascii="宋体" w:hAnsi="宋体" w:eastAsia="宋体" w:cs="宋体"/>
                <w:color w:val="auto"/>
                <w:highlight w:val="none"/>
                <w:shd w:val="clear" w:color="auto" w:fill="auto"/>
              </w:rPr>
              <w:t>社保费用应执行苏人社发[2023]3号《关于2023年度社会保险缴费工资基数上下限暂行标准的通知》，社保（企业部分）不得低于上述文件标准及规定险种，即不得低于1285.05元/人/月。</w:t>
            </w:r>
          </w:p>
        </w:tc>
      </w:tr>
      <w:tr w14:paraId="304D9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95" w:type="dxa"/>
            <w:noWrap w:val="0"/>
            <w:vAlign w:val="center"/>
          </w:tcPr>
          <w:p w14:paraId="023402A8">
            <w:pPr>
              <w:keepNext w:val="0"/>
              <w:keepLines w:val="0"/>
              <w:pageBreakBefore w:val="0"/>
              <w:widowControl/>
              <w:spacing w:line="360" w:lineRule="exact"/>
              <w:jc w:val="center"/>
              <w:rPr>
                <w:rFonts w:hint="default"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1.7</w:t>
            </w:r>
          </w:p>
        </w:tc>
        <w:tc>
          <w:tcPr>
            <w:tcW w:w="2175" w:type="dxa"/>
            <w:shd w:val="clear" w:color="auto" w:fill="auto"/>
            <w:noWrap w:val="0"/>
            <w:vAlign w:val="center"/>
          </w:tcPr>
          <w:p w14:paraId="7D130350">
            <w:pPr>
              <w:keepNext w:val="0"/>
              <w:keepLines w:val="0"/>
              <w:pageBreakBefore w:val="0"/>
              <w:widowControl/>
              <w:spacing w:line="360" w:lineRule="exact"/>
              <w:jc w:val="center"/>
              <w:rPr>
                <w:rFonts w:hint="eastAsia" w:ascii="宋体" w:hAnsi="宋体" w:eastAsia="宋体" w:cs="宋体"/>
                <w:color w:val="auto"/>
                <w:sz w:val="21"/>
                <w:szCs w:val="24"/>
                <w:highlight w:val="none"/>
                <w:shd w:val="clear" w:color="auto" w:fill="auto"/>
                <w:lang w:val="en-US" w:eastAsia="zh-CN" w:bidi="ar-SA"/>
              </w:rPr>
            </w:pPr>
            <w:r>
              <w:rPr>
                <w:rFonts w:hint="eastAsia" w:ascii="宋体" w:hAnsi="宋体" w:eastAsia="宋体" w:cs="宋体"/>
                <w:color w:val="auto"/>
                <w:highlight w:val="none"/>
                <w:shd w:val="clear" w:color="auto" w:fill="auto"/>
              </w:rPr>
              <w:t>住房公积金</w:t>
            </w:r>
          </w:p>
        </w:tc>
        <w:tc>
          <w:tcPr>
            <w:tcW w:w="892" w:type="dxa"/>
            <w:shd w:val="clear" w:color="auto" w:fill="auto"/>
            <w:noWrap w:val="0"/>
            <w:vAlign w:val="center"/>
          </w:tcPr>
          <w:p w14:paraId="24A8F728">
            <w:pPr>
              <w:keepNext w:val="0"/>
              <w:keepLines w:val="0"/>
              <w:pageBreakBefore w:val="0"/>
              <w:widowControl/>
              <w:spacing w:line="360" w:lineRule="exact"/>
              <w:jc w:val="center"/>
              <w:rPr>
                <w:rFonts w:hint="eastAsia" w:ascii="宋体" w:hAnsi="宋体" w:eastAsia="宋体" w:cs="宋体"/>
                <w:color w:val="auto"/>
                <w:sz w:val="21"/>
                <w:szCs w:val="24"/>
                <w:highlight w:val="none"/>
                <w:shd w:val="clear" w:color="auto" w:fill="auto"/>
                <w:lang w:val="en-US" w:eastAsia="zh-CN" w:bidi="ar-SA"/>
              </w:rPr>
            </w:pPr>
            <w:r>
              <w:rPr>
                <w:rFonts w:hint="eastAsia" w:ascii="宋体" w:hAnsi="宋体" w:eastAsia="宋体" w:cs="宋体"/>
                <w:color w:val="000000"/>
                <w:sz w:val="21"/>
                <w:szCs w:val="21"/>
                <w:lang w:val="en-US" w:eastAsia="zh-CN"/>
              </w:rPr>
              <w:t>人*月</w:t>
            </w:r>
          </w:p>
        </w:tc>
        <w:tc>
          <w:tcPr>
            <w:tcW w:w="975" w:type="dxa"/>
            <w:shd w:val="clear" w:color="auto" w:fill="auto"/>
            <w:noWrap w:val="0"/>
            <w:vAlign w:val="center"/>
          </w:tcPr>
          <w:p w14:paraId="0D96D01F">
            <w:pPr>
              <w:keepNext w:val="0"/>
              <w:keepLines w:val="0"/>
              <w:pageBreakBefore w:val="0"/>
              <w:widowControl/>
              <w:spacing w:line="360" w:lineRule="exact"/>
              <w:jc w:val="center"/>
              <w:rPr>
                <w:rFonts w:hint="eastAsia" w:ascii="宋体" w:hAnsi="宋体" w:eastAsia="宋体" w:cs="宋体"/>
                <w:color w:val="auto"/>
                <w:sz w:val="21"/>
                <w:szCs w:val="24"/>
                <w:highlight w:val="none"/>
                <w:shd w:val="clear" w:color="auto" w:fill="auto"/>
                <w:lang w:val="en-US" w:eastAsia="zh-CN" w:bidi="ar-SA"/>
              </w:rPr>
            </w:pPr>
            <w:r>
              <w:rPr>
                <w:rFonts w:hint="eastAsia" w:ascii="宋体" w:hAnsi="宋体" w:eastAsia="宋体" w:cs="宋体"/>
                <w:color w:val="auto"/>
                <w:highlight w:val="none"/>
                <w:shd w:val="clear" w:color="auto" w:fill="auto"/>
                <w:lang w:val="en-US" w:eastAsia="zh-CN"/>
              </w:rPr>
              <w:t xml:space="preserve">22 </w:t>
            </w:r>
          </w:p>
        </w:tc>
        <w:tc>
          <w:tcPr>
            <w:tcW w:w="1215" w:type="dxa"/>
            <w:shd w:val="clear" w:color="auto" w:fill="auto"/>
            <w:noWrap w:val="0"/>
            <w:vAlign w:val="center"/>
          </w:tcPr>
          <w:p w14:paraId="64C3A7C0">
            <w:pPr>
              <w:keepNext w:val="0"/>
              <w:keepLines w:val="0"/>
              <w:pageBreakBefore w:val="0"/>
              <w:widowControl/>
              <w:spacing w:line="360" w:lineRule="exact"/>
              <w:jc w:val="center"/>
              <w:rPr>
                <w:rFonts w:hint="default" w:ascii="宋体" w:hAnsi="宋体" w:eastAsia="宋体" w:cs="宋体"/>
                <w:color w:val="auto"/>
                <w:sz w:val="21"/>
                <w:szCs w:val="24"/>
                <w:highlight w:val="none"/>
                <w:shd w:val="clear" w:color="auto" w:fill="auto"/>
                <w:lang w:val="en-US" w:eastAsia="zh-CN" w:bidi="ar-SA"/>
              </w:rPr>
            </w:pPr>
          </w:p>
        </w:tc>
        <w:tc>
          <w:tcPr>
            <w:tcW w:w="1260" w:type="dxa"/>
            <w:shd w:val="clear" w:color="auto" w:fill="auto"/>
            <w:noWrap w:val="0"/>
            <w:vAlign w:val="center"/>
          </w:tcPr>
          <w:p w14:paraId="027A4B6B">
            <w:pPr>
              <w:keepNext w:val="0"/>
              <w:keepLines w:val="0"/>
              <w:pageBreakBefore w:val="0"/>
              <w:widowControl/>
              <w:spacing w:line="360" w:lineRule="exact"/>
              <w:jc w:val="center"/>
              <w:rPr>
                <w:rFonts w:hint="eastAsia" w:ascii="宋体" w:hAnsi="宋体" w:eastAsia="宋体" w:cs="宋体"/>
                <w:color w:val="auto"/>
                <w:sz w:val="21"/>
                <w:szCs w:val="24"/>
                <w:highlight w:val="none"/>
                <w:shd w:val="clear" w:color="auto" w:fill="auto"/>
                <w:lang w:val="en-US" w:eastAsia="zh-CN" w:bidi="ar-SA"/>
              </w:rPr>
            </w:pPr>
          </w:p>
        </w:tc>
        <w:tc>
          <w:tcPr>
            <w:tcW w:w="2640" w:type="dxa"/>
            <w:shd w:val="clear" w:color="auto" w:fill="auto"/>
            <w:noWrap w:val="0"/>
            <w:vAlign w:val="center"/>
          </w:tcPr>
          <w:p w14:paraId="0243E0FC">
            <w:pPr>
              <w:keepNext w:val="0"/>
              <w:keepLines w:val="0"/>
              <w:pageBreakBefore w:val="0"/>
              <w:widowControl/>
              <w:spacing w:line="360" w:lineRule="exact"/>
              <w:jc w:val="left"/>
              <w:rPr>
                <w:rFonts w:hint="eastAsia" w:ascii="宋体" w:hAnsi="宋体" w:eastAsia="宋体" w:cs="宋体"/>
                <w:color w:val="auto"/>
                <w:sz w:val="21"/>
                <w:szCs w:val="24"/>
                <w:highlight w:val="none"/>
                <w:shd w:val="clear" w:color="auto" w:fill="auto"/>
                <w:lang w:val="en-US" w:eastAsia="zh-CN" w:bidi="ar-SA"/>
              </w:rPr>
            </w:pPr>
            <w:r>
              <w:rPr>
                <w:rFonts w:hint="eastAsia" w:ascii="宋体" w:hAnsi="宋体" w:eastAsia="宋体" w:cs="宋体"/>
                <w:color w:val="000000" w:themeColor="text1"/>
                <w:spacing w:val="-2"/>
                <w:sz w:val="21"/>
                <w:szCs w:val="21"/>
                <w:highlight w:val="none"/>
                <w14:textFill>
                  <w14:solidFill>
                    <w14:schemeClr w14:val="tx1"/>
                  </w14:solidFill>
                </w14:textFill>
              </w:rPr>
              <w:t>根据《住房公积金管理条例》（国务院令 350 号）企业单位应当按时足额缴存住房公积金</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w:t>
            </w:r>
            <w:r>
              <w:rPr>
                <w:rFonts w:hint="eastAsia" w:ascii="宋体" w:hAnsi="宋体" w:eastAsia="宋体" w:cs="宋体"/>
                <w:color w:val="000000" w:themeColor="text1"/>
                <w:spacing w:val="-2"/>
                <w:sz w:val="21"/>
                <w:szCs w:val="21"/>
                <w:highlight w:val="none"/>
                <w14:textFill>
                  <w14:solidFill>
                    <w14:schemeClr w14:val="tx1"/>
                  </w14:solidFill>
                </w14:textFill>
              </w:rPr>
              <w:t>住房公积金须按不低于</w:t>
            </w: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100.5</w:t>
            </w:r>
            <w:r>
              <w:rPr>
                <w:rFonts w:hint="eastAsia" w:ascii="宋体" w:hAnsi="宋体" w:eastAsia="宋体" w:cs="宋体"/>
                <w:color w:val="000000" w:themeColor="text1"/>
                <w:spacing w:val="-2"/>
                <w:sz w:val="21"/>
                <w:szCs w:val="21"/>
                <w:highlight w:val="none"/>
                <w14:textFill>
                  <w14:solidFill>
                    <w14:schemeClr w14:val="tx1"/>
                  </w14:solidFill>
                </w14:textFill>
              </w:rPr>
              <w:t>元/人/每月。</w:t>
            </w:r>
            <w:r>
              <w:rPr>
                <w:rFonts w:hint="eastAsia" w:ascii="宋体" w:hAnsi="宋体" w:eastAsia="宋体" w:cs="宋体"/>
                <w:color w:val="000000"/>
                <w:sz w:val="21"/>
                <w:szCs w:val="21"/>
                <w:lang w:val="en-US" w:eastAsia="zh-CN"/>
              </w:rPr>
              <w:t>缴纳期限12个月。</w:t>
            </w:r>
          </w:p>
        </w:tc>
      </w:tr>
      <w:tr w14:paraId="49199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95" w:type="dxa"/>
            <w:noWrap w:val="0"/>
            <w:vAlign w:val="center"/>
          </w:tcPr>
          <w:p w14:paraId="5CA9D077">
            <w:pPr>
              <w:keepNext w:val="0"/>
              <w:keepLines w:val="0"/>
              <w:pageBreakBefore w:val="0"/>
              <w:widowControl/>
              <w:spacing w:line="360" w:lineRule="exact"/>
              <w:jc w:val="center"/>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1.8</w:t>
            </w:r>
          </w:p>
        </w:tc>
        <w:tc>
          <w:tcPr>
            <w:tcW w:w="2175" w:type="dxa"/>
            <w:noWrap w:val="0"/>
            <w:vAlign w:val="center"/>
          </w:tcPr>
          <w:p w14:paraId="40F69C02">
            <w:pPr>
              <w:keepNext w:val="0"/>
              <w:keepLines w:val="0"/>
              <w:pageBreakBefore w:val="0"/>
              <w:spacing w:line="360" w:lineRule="exact"/>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国家法定假日加班费</w:t>
            </w:r>
          </w:p>
        </w:tc>
        <w:tc>
          <w:tcPr>
            <w:tcW w:w="892" w:type="dxa"/>
            <w:noWrap w:val="0"/>
            <w:vAlign w:val="center"/>
          </w:tcPr>
          <w:p w14:paraId="4320928E">
            <w:pPr>
              <w:keepNext w:val="0"/>
              <w:keepLines w:val="0"/>
              <w:pageBreakBefore w:val="0"/>
              <w:widowControl/>
              <w:spacing w:line="360" w:lineRule="exact"/>
              <w:jc w:val="center"/>
              <w:rPr>
                <w:rFonts w:hint="eastAsia" w:ascii="宋体" w:hAnsi="宋体" w:eastAsia="宋体" w:cs="宋体"/>
                <w:color w:val="auto"/>
                <w:highlight w:val="none"/>
                <w:shd w:val="clear" w:color="auto" w:fill="auto"/>
              </w:rPr>
            </w:pPr>
            <w:r>
              <w:rPr>
                <w:rFonts w:hint="eastAsia" w:ascii="宋体" w:hAnsi="宋体" w:eastAsia="宋体" w:cs="宋体"/>
                <w:color w:val="000000"/>
                <w:sz w:val="21"/>
                <w:szCs w:val="21"/>
                <w:lang w:val="en-US" w:eastAsia="zh-CN"/>
              </w:rPr>
              <w:t>人*年</w:t>
            </w:r>
          </w:p>
        </w:tc>
        <w:tc>
          <w:tcPr>
            <w:tcW w:w="975" w:type="dxa"/>
            <w:noWrap w:val="0"/>
            <w:vAlign w:val="center"/>
          </w:tcPr>
          <w:p w14:paraId="3D86CBE1">
            <w:pPr>
              <w:keepNext w:val="0"/>
              <w:keepLines w:val="0"/>
              <w:pageBreakBefore w:val="0"/>
              <w:widowControl/>
              <w:spacing w:line="360" w:lineRule="exact"/>
              <w:jc w:val="center"/>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22 </w:t>
            </w:r>
          </w:p>
        </w:tc>
        <w:tc>
          <w:tcPr>
            <w:tcW w:w="1215" w:type="dxa"/>
            <w:noWrap w:val="0"/>
            <w:vAlign w:val="center"/>
          </w:tcPr>
          <w:p w14:paraId="1FED8376">
            <w:pPr>
              <w:keepNext w:val="0"/>
              <w:keepLines w:val="0"/>
              <w:pageBreakBefore w:val="0"/>
              <w:widowControl/>
              <w:spacing w:line="360" w:lineRule="exact"/>
              <w:jc w:val="center"/>
              <w:rPr>
                <w:rFonts w:hint="default" w:ascii="宋体" w:hAnsi="宋体" w:eastAsia="宋体" w:cs="宋体"/>
                <w:color w:val="auto"/>
                <w:highlight w:val="none"/>
                <w:shd w:val="clear" w:color="auto" w:fill="auto"/>
                <w:lang w:val="en-US" w:eastAsia="zh-CN"/>
              </w:rPr>
            </w:pPr>
          </w:p>
        </w:tc>
        <w:tc>
          <w:tcPr>
            <w:tcW w:w="1260" w:type="dxa"/>
            <w:noWrap w:val="0"/>
            <w:vAlign w:val="center"/>
          </w:tcPr>
          <w:p w14:paraId="1A0CC374">
            <w:pPr>
              <w:keepNext w:val="0"/>
              <w:keepLines w:val="0"/>
              <w:pageBreakBefore w:val="0"/>
              <w:widowControl/>
              <w:spacing w:line="360" w:lineRule="exact"/>
              <w:jc w:val="center"/>
              <w:rPr>
                <w:rFonts w:hint="eastAsia" w:ascii="宋体" w:hAnsi="宋体" w:eastAsia="宋体" w:cs="宋体"/>
                <w:color w:val="auto"/>
                <w:highlight w:val="none"/>
                <w:shd w:val="clear" w:color="auto" w:fill="auto"/>
              </w:rPr>
            </w:pPr>
          </w:p>
        </w:tc>
        <w:tc>
          <w:tcPr>
            <w:tcW w:w="2640" w:type="dxa"/>
            <w:noWrap w:val="0"/>
            <w:vAlign w:val="center"/>
          </w:tcPr>
          <w:p w14:paraId="20EB43AD">
            <w:pPr>
              <w:keepNext w:val="0"/>
              <w:keepLines w:val="0"/>
              <w:pageBreakBefore w:val="0"/>
              <w:widowControl/>
              <w:spacing w:line="360" w:lineRule="exact"/>
              <w:jc w:val="left"/>
              <w:rPr>
                <w:rFonts w:hint="eastAsia" w:ascii="宋体" w:hAnsi="宋体" w:eastAsia="宋体" w:cs="宋体"/>
                <w:color w:val="auto"/>
                <w:highlight w:val="none"/>
                <w:shd w:val="clear" w:color="auto" w:fill="auto"/>
              </w:rPr>
            </w:pPr>
            <w:r>
              <w:rPr>
                <w:rFonts w:hint="eastAsia" w:ascii="宋体" w:hAnsi="宋体" w:eastAsia="宋体" w:cs="宋体"/>
                <w:color w:val="000000"/>
                <w:sz w:val="21"/>
                <w:szCs w:val="21"/>
              </w:rPr>
              <w:t>国假加班人员数不得低于</w:t>
            </w:r>
            <w:r>
              <w:rPr>
                <w:rFonts w:hint="eastAsia" w:ascii="宋体" w:hAnsi="宋体" w:eastAsia="宋体" w:cs="宋体"/>
                <w:color w:val="000000"/>
                <w:sz w:val="21"/>
                <w:szCs w:val="21"/>
                <w:lang w:val="en-US" w:eastAsia="zh-CN"/>
              </w:rPr>
              <w:t>22</w:t>
            </w:r>
            <w:r>
              <w:rPr>
                <w:rFonts w:hint="eastAsia" w:ascii="宋体" w:hAnsi="宋体" w:eastAsia="宋体" w:cs="宋体"/>
                <w:color w:val="000000"/>
                <w:sz w:val="21"/>
                <w:szCs w:val="21"/>
              </w:rPr>
              <w:t>人，按不低于3908.96元/人/年填报</w:t>
            </w:r>
          </w:p>
        </w:tc>
      </w:tr>
      <w:tr w14:paraId="49F30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95" w:type="dxa"/>
            <w:noWrap w:val="0"/>
            <w:vAlign w:val="center"/>
          </w:tcPr>
          <w:p w14:paraId="41269FB1">
            <w:pPr>
              <w:keepNext w:val="0"/>
              <w:keepLines w:val="0"/>
              <w:pageBreakBefore w:val="0"/>
              <w:widowControl/>
              <w:spacing w:line="360" w:lineRule="exact"/>
              <w:jc w:val="center"/>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1.9</w:t>
            </w:r>
          </w:p>
        </w:tc>
        <w:tc>
          <w:tcPr>
            <w:tcW w:w="2175" w:type="dxa"/>
            <w:shd w:val="clear" w:color="auto" w:fill="auto"/>
            <w:noWrap w:val="0"/>
            <w:vAlign w:val="center"/>
          </w:tcPr>
          <w:p w14:paraId="44DBBAF4">
            <w:pPr>
              <w:keepNext w:val="0"/>
              <w:keepLines w:val="0"/>
              <w:pageBreakBefore w:val="0"/>
              <w:widowControl/>
              <w:spacing w:line="320" w:lineRule="exact"/>
              <w:ind w:left="0" w:firstLine="0"/>
              <w:jc w:val="center"/>
              <w:rPr>
                <w:rFonts w:hint="eastAsia"/>
                <w:sz w:val="22"/>
                <w:szCs w:val="22"/>
                <w:vertAlign w:val="baseline"/>
                <w:lang w:val="en-US" w:eastAsia="zh-CN"/>
              </w:rPr>
            </w:pPr>
            <w:r>
              <w:rPr>
                <w:rFonts w:hint="eastAsia"/>
                <w:sz w:val="22"/>
                <w:szCs w:val="22"/>
                <w:vertAlign w:val="baseline"/>
                <w:lang w:val="en-US" w:eastAsia="zh-CN"/>
              </w:rPr>
              <w:t>法定假日</w:t>
            </w:r>
          </w:p>
          <w:p w14:paraId="13A3768C">
            <w:pPr>
              <w:keepNext w:val="0"/>
              <w:keepLines w:val="0"/>
              <w:pageBreakBefore w:val="0"/>
              <w:widowControl/>
              <w:spacing w:line="320" w:lineRule="exact"/>
              <w:ind w:left="0" w:leftChars="0" w:firstLine="0" w:firstLineChars="0"/>
              <w:jc w:val="center"/>
              <w:rPr>
                <w:rFonts w:hint="eastAsia" w:asciiTheme="minorHAnsi" w:hAnsiTheme="minorHAnsi" w:eastAsiaTheme="minorEastAsia" w:cstheme="minorBidi"/>
                <w:sz w:val="22"/>
                <w:szCs w:val="22"/>
                <w:vertAlign w:val="baseline"/>
                <w:lang w:val="en-US" w:eastAsia="zh-CN" w:bidi="ar-SA"/>
              </w:rPr>
            </w:pPr>
            <w:r>
              <w:rPr>
                <w:rFonts w:hint="eastAsia"/>
                <w:sz w:val="22"/>
                <w:szCs w:val="22"/>
                <w:vertAlign w:val="baseline"/>
                <w:lang w:val="en-US" w:eastAsia="zh-CN"/>
              </w:rPr>
              <w:t>加班费</w:t>
            </w:r>
          </w:p>
        </w:tc>
        <w:tc>
          <w:tcPr>
            <w:tcW w:w="892" w:type="dxa"/>
            <w:shd w:val="clear" w:color="auto" w:fill="auto"/>
            <w:noWrap w:val="0"/>
            <w:vAlign w:val="center"/>
          </w:tcPr>
          <w:p w14:paraId="289AC36D">
            <w:pPr>
              <w:keepNext w:val="0"/>
              <w:keepLines w:val="0"/>
              <w:pageBreakBefore w:val="0"/>
              <w:widowControl/>
              <w:spacing w:line="320" w:lineRule="exact"/>
              <w:ind w:left="0" w:leftChars="0" w:firstLine="0" w:firstLineChars="0"/>
              <w:jc w:val="center"/>
              <w:rPr>
                <w:rFonts w:hint="eastAsia" w:asciiTheme="minorHAnsi" w:hAnsiTheme="minorHAnsi" w:eastAsiaTheme="minorEastAsia" w:cstheme="minorBidi"/>
                <w:sz w:val="22"/>
                <w:szCs w:val="22"/>
                <w:vertAlign w:val="baseline"/>
                <w:lang w:val="en-US" w:eastAsia="zh-CN" w:bidi="ar-SA"/>
              </w:rPr>
            </w:pPr>
            <w:r>
              <w:rPr>
                <w:rFonts w:hint="eastAsia"/>
                <w:sz w:val="22"/>
                <w:szCs w:val="22"/>
                <w:vertAlign w:val="baseline"/>
                <w:lang w:val="en-US" w:eastAsia="zh-CN"/>
              </w:rPr>
              <w:t>人*年</w:t>
            </w:r>
          </w:p>
        </w:tc>
        <w:tc>
          <w:tcPr>
            <w:tcW w:w="975" w:type="dxa"/>
            <w:shd w:val="clear" w:color="auto" w:fill="auto"/>
            <w:noWrap w:val="0"/>
            <w:vAlign w:val="center"/>
          </w:tcPr>
          <w:p w14:paraId="5524EB86">
            <w:pPr>
              <w:keepNext w:val="0"/>
              <w:keepLines w:val="0"/>
              <w:pageBreakBefore w:val="0"/>
              <w:widowControl/>
              <w:spacing w:line="320" w:lineRule="exact"/>
              <w:ind w:left="0" w:leftChars="0" w:firstLine="0" w:firstLineChars="0"/>
              <w:jc w:val="center"/>
              <w:rPr>
                <w:rFonts w:hint="default" w:asciiTheme="minorHAnsi" w:hAnsiTheme="minorHAnsi" w:eastAsiaTheme="minorEastAsia" w:cstheme="minorBidi"/>
                <w:sz w:val="22"/>
                <w:szCs w:val="22"/>
                <w:vertAlign w:val="baseline"/>
                <w:lang w:val="en-US" w:eastAsia="zh-CN" w:bidi="ar-SA"/>
              </w:rPr>
            </w:pPr>
            <w:r>
              <w:rPr>
                <w:rFonts w:hint="eastAsia"/>
                <w:sz w:val="22"/>
                <w:szCs w:val="22"/>
                <w:vertAlign w:val="baseline"/>
                <w:lang w:val="en-US" w:eastAsia="zh-CN"/>
              </w:rPr>
              <w:t>22</w:t>
            </w:r>
          </w:p>
        </w:tc>
        <w:tc>
          <w:tcPr>
            <w:tcW w:w="1215" w:type="dxa"/>
            <w:shd w:val="clear" w:color="auto" w:fill="auto"/>
            <w:noWrap w:val="0"/>
            <w:vAlign w:val="center"/>
          </w:tcPr>
          <w:p w14:paraId="7141F475">
            <w:pPr>
              <w:keepNext w:val="0"/>
              <w:keepLines w:val="0"/>
              <w:pageBreakBefore w:val="0"/>
              <w:spacing w:line="320" w:lineRule="exact"/>
              <w:ind w:firstLine="440" w:firstLineChars="0"/>
              <w:rPr>
                <w:rFonts w:hint="default" w:asciiTheme="minorHAnsi" w:hAnsiTheme="minorHAnsi" w:eastAsiaTheme="minorEastAsia" w:cstheme="minorBidi"/>
                <w:sz w:val="21"/>
                <w:szCs w:val="24"/>
                <w:lang w:val="en-US" w:eastAsia="zh-CN" w:bidi="ar-SA"/>
              </w:rPr>
            </w:pPr>
            <w:r>
              <w:rPr>
                <w:rFonts w:hint="eastAsia"/>
                <w:lang w:bidi="ar"/>
              </w:rPr>
              <w:t xml:space="preserve"> </w:t>
            </w:r>
          </w:p>
        </w:tc>
        <w:tc>
          <w:tcPr>
            <w:tcW w:w="1260" w:type="dxa"/>
            <w:shd w:val="clear" w:color="auto" w:fill="auto"/>
            <w:noWrap w:val="0"/>
            <w:vAlign w:val="center"/>
          </w:tcPr>
          <w:p w14:paraId="125B8015">
            <w:pPr>
              <w:keepNext w:val="0"/>
              <w:keepLines w:val="0"/>
              <w:pageBreakBefore w:val="0"/>
              <w:spacing w:line="320" w:lineRule="exact"/>
              <w:ind w:firstLine="440" w:firstLineChars="0"/>
              <w:rPr>
                <w:rFonts w:hint="eastAsia" w:asciiTheme="minorHAnsi" w:hAnsiTheme="minorHAnsi" w:eastAsiaTheme="minorEastAsia" w:cstheme="minorBidi"/>
                <w:sz w:val="21"/>
                <w:szCs w:val="24"/>
                <w:lang w:val="en-US" w:eastAsia="zh-CN" w:bidi="ar-SA"/>
              </w:rPr>
            </w:pPr>
            <w:r>
              <w:rPr>
                <w:rFonts w:hint="eastAsia"/>
                <w:lang w:bidi="ar"/>
              </w:rPr>
              <w:t xml:space="preserve"> </w:t>
            </w:r>
          </w:p>
        </w:tc>
        <w:tc>
          <w:tcPr>
            <w:tcW w:w="2640" w:type="dxa"/>
            <w:shd w:val="clear" w:color="auto" w:fill="auto"/>
            <w:noWrap w:val="0"/>
            <w:vAlign w:val="center"/>
          </w:tcPr>
          <w:p w14:paraId="6F371F10">
            <w:pPr>
              <w:keepNext w:val="0"/>
              <w:keepLines w:val="0"/>
              <w:pageBreakBefore w:val="0"/>
              <w:spacing w:line="320" w:lineRule="exact"/>
              <w:ind w:firstLine="0" w:firstLineChars="0"/>
              <w:rPr>
                <w:rFonts w:hint="eastAsia" w:asciiTheme="minorHAnsi" w:hAnsiTheme="minorHAnsi" w:eastAsiaTheme="minorEastAsia" w:cstheme="minorBidi"/>
                <w:sz w:val="21"/>
                <w:szCs w:val="24"/>
                <w:lang w:val="en-US" w:eastAsia="zh-CN" w:bidi="ar"/>
              </w:rPr>
            </w:pPr>
            <w:r>
              <w:rPr>
                <w:rFonts w:hint="eastAsia"/>
                <w:lang w:bidi="ar"/>
              </w:rPr>
              <w:t>本项目要求物业服务人员每年105天执行，其中安排调休52天/人/年（上六休一），加班时间为52天/年，各投标人须按不低于</w:t>
            </w:r>
            <w:r>
              <w:rPr>
                <w:rFonts w:hint="eastAsia" w:eastAsia="宋体"/>
                <w:lang w:val="en-US" w:eastAsia="zh-CN" w:bidi="ar"/>
              </w:rPr>
              <w:t>10423.91</w:t>
            </w:r>
            <w:r>
              <w:rPr>
                <w:rFonts w:hint="eastAsia"/>
                <w:lang w:bidi="ar"/>
              </w:rPr>
              <w:t>元/人/年填报，否则作无效标书处理。</w:t>
            </w:r>
          </w:p>
        </w:tc>
      </w:tr>
      <w:tr w14:paraId="6D0C3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795" w:type="dxa"/>
            <w:noWrap w:val="0"/>
            <w:vAlign w:val="center"/>
          </w:tcPr>
          <w:p w14:paraId="0E7B6F21">
            <w:pPr>
              <w:keepNext w:val="0"/>
              <w:keepLines w:val="0"/>
              <w:pageBreakBefore w:val="0"/>
              <w:widowControl/>
              <w:spacing w:line="360" w:lineRule="exact"/>
              <w:jc w:val="center"/>
              <w:rPr>
                <w:rFonts w:hint="default"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1.10</w:t>
            </w:r>
          </w:p>
        </w:tc>
        <w:tc>
          <w:tcPr>
            <w:tcW w:w="2175" w:type="dxa"/>
            <w:noWrap w:val="0"/>
            <w:vAlign w:val="center"/>
          </w:tcPr>
          <w:p w14:paraId="0B7F3EE9">
            <w:pPr>
              <w:keepNext w:val="0"/>
              <w:keepLines w:val="0"/>
              <w:pageBreakBefore w:val="0"/>
              <w:widowControl/>
              <w:spacing w:line="360" w:lineRule="exact"/>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eastAsia="zh-CN"/>
              </w:rPr>
              <w:t>高温补贴</w:t>
            </w:r>
          </w:p>
        </w:tc>
        <w:tc>
          <w:tcPr>
            <w:tcW w:w="892" w:type="dxa"/>
            <w:shd w:val="clear" w:color="auto" w:fill="auto"/>
            <w:noWrap w:val="0"/>
            <w:vAlign w:val="center"/>
          </w:tcPr>
          <w:p w14:paraId="04F32AB5">
            <w:pPr>
              <w:keepNext w:val="0"/>
              <w:keepLines w:val="0"/>
              <w:pageBreakBefore w:val="0"/>
              <w:widowControl/>
              <w:spacing w:line="320" w:lineRule="exact"/>
              <w:ind w:left="0" w:leftChars="0" w:firstLine="0" w:firstLineChars="0"/>
              <w:jc w:val="center"/>
              <w:rPr>
                <w:rFonts w:hint="eastAsia" w:asciiTheme="minorHAnsi" w:hAnsiTheme="minorHAnsi" w:eastAsiaTheme="minorEastAsia" w:cstheme="minorBidi"/>
                <w:sz w:val="22"/>
                <w:szCs w:val="22"/>
                <w:vertAlign w:val="baseline"/>
                <w:lang w:val="en-US" w:eastAsia="zh-CN" w:bidi="ar-SA"/>
              </w:rPr>
            </w:pPr>
            <w:r>
              <w:rPr>
                <w:rFonts w:hint="eastAsia"/>
                <w:sz w:val="22"/>
                <w:szCs w:val="22"/>
                <w:vertAlign w:val="baseline"/>
                <w:lang w:val="en-US" w:eastAsia="zh-CN"/>
              </w:rPr>
              <w:t>人*年</w:t>
            </w:r>
          </w:p>
        </w:tc>
        <w:tc>
          <w:tcPr>
            <w:tcW w:w="975" w:type="dxa"/>
            <w:shd w:val="clear" w:color="auto" w:fill="auto"/>
            <w:noWrap w:val="0"/>
            <w:vAlign w:val="center"/>
          </w:tcPr>
          <w:p w14:paraId="1367CF22">
            <w:pPr>
              <w:keepNext w:val="0"/>
              <w:keepLines w:val="0"/>
              <w:pageBreakBefore w:val="0"/>
              <w:widowControl/>
              <w:spacing w:line="320" w:lineRule="exact"/>
              <w:ind w:left="0" w:leftChars="0" w:firstLine="0" w:firstLineChars="0"/>
              <w:jc w:val="center"/>
              <w:rPr>
                <w:rFonts w:hint="eastAsia" w:asciiTheme="minorHAnsi" w:hAnsiTheme="minorHAnsi" w:eastAsiaTheme="minorEastAsia" w:cstheme="minorBidi"/>
                <w:sz w:val="22"/>
                <w:szCs w:val="22"/>
                <w:vertAlign w:val="baseline"/>
                <w:lang w:val="en-US" w:eastAsia="zh-CN" w:bidi="ar-SA"/>
              </w:rPr>
            </w:pPr>
            <w:r>
              <w:rPr>
                <w:rFonts w:hint="eastAsia"/>
                <w:sz w:val="22"/>
                <w:szCs w:val="22"/>
                <w:vertAlign w:val="baseline"/>
                <w:lang w:val="en-US" w:eastAsia="zh-CN"/>
              </w:rPr>
              <w:t>22</w:t>
            </w:r>
          </w:p>
        </w:tc>
        <w:tc>
          <w:tcPr>
            <w:tcW w:w="1215" w:type="dxa"/>
            <w:noWrap w:val="0"/>
            <w:vAlign w:val="center"/>
          </w:tcPr>
          <w:p w14:paraId="10764B5A">
            <w:pPr>
              <w:keepNext w:val="0"/>
              <w:keepLines w:val="0"/>
              <w:pageBreakBefore w:val="0"/>
              <w:widowControl/>
              <w:spacing w:line="360" w:lineRule="exact"/>
              <w:jc w:val="center"/>
              <w:rPr>
                <w:rFonts w:hint="default" w:ascii="宋体" w:hAnsi="宋体" w:eastAsia="宋体" w:cs="宋体"/>
                <w:color w:val="auto"/>
                <w:highlight w:val="none"/>
                <w:shd w:val="clear" w:color="auto" w:fill="auto"/>
                <w:lang w:val="en-US" w:eastAsia="zh-CN"/>
              </w:rPr>
            </w:pPr>
          </w:p>
        </w:tc>
        <w:tc>
          <w:tcPr>
            <w:tcW w:w="1260" w:type="dxa"/>
            <w:noWrap w:val="0"/>
            <w:vAlign w:val="center"/>
          </w:tcPr>
          <w:p w14:paraId="1367769F">
            <w:pPr>
              <w:keepNext w:val="0"/>
              <w:keepLines w:val="0"/>
              <w:pageBreakBefore w:val="0"/>
              <w:widowControl/>
              <w:spacing w:line="360" w:lineRule="exact"/>
              <w:jc w:val="center"/>
              <w:rPr>
                <w:rFonts w:hint="eastAsia" w:ascii="宋体" w:hAnsi="宋体" w:eastAsia="宋体" w:cs="宋体"/>
                <w:color w:val="auto"/>
                <w:highlight w:val="none"/>
                <w:shd w:val="clear" w:color="auto" w:fill="auto"/>
              </w:rPr>
            </w:pPr>
          </w:p>
        </w:tc>
        <w:tc>
          <w:tcPr>
            <w:tcW w:w="2640" w:type="dxa"/>
            <w:noWrap w:val="0"/>
            <w:vAlign w:val="center"/>
          </w:tcPr>
          <w:p w14:paraId="1468A352">
            <w:pPr>
              <w:keepNext w:val="0"/>
              <w:keepLines w:val="0"/>
              <w:pageBreakBefore w:val="0"/>
              <w:widowControl/>
              <w:spacing w:line="360" w:lineRule="exact"/>
              <w:jc w:val="left"/>
              <w:rPr>
                <w:rFonts w:hint="default"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eastAsia="zh-CN"/>
              </w:rPr>
              <w:t>所有人员夏季高温补助费不低于国家及本省相关规定执行。即不低于</w:t>
            </w:r>
            <w:r>
              <w:rPr>
                <w:rFonts w:hint="eastAsia" w:ascii="宋体" w:hAnsi="宋体" w:eastAsia="宋体" w:cs="宋体"/>
                <w:color w:val="auto"/>
                <w:highlight w:val="none"/>
                <w:shd w:val="clear" w:color="auto" w:fill="auto"/>
                <w:lang w:val="en-US" w:eastAsia="zh-CN"/>
              </w:rPr>
              <w:t>300元人/每月，6月至9月共4个月。</w:t>
            </w:r>
          </w:p>
        </w:tc>
      </w:tr>
      <w:tr w14:paraId="13CA6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795" w:type="dxa"/>
            <w:noWrap w:val="0"/>
            <w:vAlign w:val="center"/>
          </w:tcPr>
          <w:p w14:paraId="5977E2FE">
            <w:pPr>
              <w:keepNext w:val="0"/>
              <w:keepLines w:val="0"/>
              <w:pageBreakBefore w:val="0"/>
              <w:widowControl/>
              <w:spacing w:line="360" w:lineRule="exact"/>
              <w:jc w:val="center"/>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2</w:t>
            </w:r>
          </w:p>
        </w:tc>
        <w:tc>
          <w:tcPr>
            <w:tcW w:w="2175" w:type="dxa"/>
            <w:noWrap w:val="0"/>
            <w:vAlign w:val="center"/>
          </w:tcPr>
          <w:p w14:paraId="3F41887B">
            <w:pPr>
              <w:keepNext w:val="0"/>
              <w:keepLines w:val="0"/>
              <w:pageBreakBefore w:val="0"/>
              <w:widowControl/>
              <w:spacing w:line="360" w:lineRule="exact"/>
              <w:jc w:val="center"/>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综合管理费</w:t>
            </w:r>
          </w:p>
        </w:tc>
        <w:tc>
          <w:tcPr>
            <w:tcW w:w="892" w:type="dxa"/>
            <w:noWrap w:val="0"/>
            <w:vAlign w:val="center"/>
          </w:tcPr>
          <w:p w14:paraId="2CA50543">
            <w:pPr>
              <w:keepNext w:val="0"/>
              <w:keepLines w:val="0"/>
              <w:pageBreakBefore w:val="0"/>
              <w:widowControl/>
              <w:spacing w:line="360" w:lineRule="exact"/>
              <w:jc w:val="center"/>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项</w:t>
            </w:r>
          </w:p>
        </w:tc>
        <w:tc>
          <w:tcPr>
            <w:tcW w:w="975" w:type="dxa"/>
            <w:noWrap w:val="0"/>
            <w:vAlign w:val="center"/>
          </w:tcPr>
          <w:p w14:paraId="4F0650A5">
            <w:pPr>
              <w:keepNext w:val="0"/>
              <w:keepLines w:val="0"/>
              <w:pageBreakBefore w:val="0"/>
              <w:widowControl/>
              <w:spacing w:line="360" w:lineRule="exact"/>
              <w:jc w:val="center"/>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 </w:t>
            </w:r>
          </w:p>
        </w:tc>
        <w:tc>
          <w:tcPr>
            <w:tcW w:w="1215" w:type="dxa"/>
            <w:noWrap w:val="0"/>
            <w:vAlign w:val="center"/>
          </w:tcPr>
          <w:p w14:paraId="694606DB">
            <w:pPr>
              <w:keepNext w:val="0"/>
              <w:keepLines w:val="0"/>
              <w:pageBreakBefore w:val="0"/>
              <w:widowControl/>
              <w:spacing w:line="360" w:lineRule="exact"/>
              <w:jc w:val="center"/>
              <w:rPr>
                <w:rFonts w:hint="eastAsia" w:ascii="宋体" w:hAnsi="宋体" w:eastAsia="宋体" w:cs="宋体"/>
                <w:color w:val="auto"/>
                <w:highlight w:val="none"/>
                <w:shd w:val="clear" w:color="auto" w:fill="auto"/>
              </w:rPr>
            </w:pPr>
          </w:p>
        </w:tc>
        <w:tc>
          <w:tcPr>
            <w:tcW w:w="1260" w:type="dxa"/>
            <w:noWrap w:val="0"/>
            <w:vAlign w:val="center"/>
          </w:tcPr>
          <w:p w14:paraId="176C1FD0">
            <w:pPr>
              <w:keepNext w:val="0"/>
              <w:keepLines w:val="0"/>
              <w:pageBreakBefore w:val="0"/>
              <w:widowControl/>
              <w:spacing w:line="360" w:lineRule="exact"/>
              <w:jc w:val="center"/>
              <w:rPr>
                <w:rFonts w:hint="eastAsia" w:ascii="宋体" w:hAnsi="宋体" w:eastAsia="宋体" w:cs="宋体"/>
                <w:color w:val="auto"/>
                <w:highlight w:val="none"/>
                <w:shd w:val="clear" w:color="auto" w:fill="auto"/>
              </w:rPr>
            </w:pPr>
          </w:p>
        </w:tc>
        <w:tc>
          <w:tcPr>
            <w:tcW w:w="2640" w:type="dxa"/>
            <w:noWrap w:val="0"/>
            <w:vAlign w:val="center"/>
          </w:tcPr>
          <w:p w14:paraId="5E8C914D">
            <w:pPr>
              <w:keepNext w:val="0"/>
              <w:keepLines w:val="0"/>
              <w:pageBreakBefore w:val="0"/>
              <w:widowControl/>
              <w:spacing w:line="360" w:lineRule="exact"/>
              <w:jc w:val="left"/>
              <w:rPr>
                <w:rFonts w:hint="eastAsia" w:ascii="宋体" w:hAnsi="宋体" w:eastAsia="宋体" w:cs="宋体"/>
                <w:color w:val="auto"/>
                <w:highlight w:val="none"/>
                <w:shd w:val="clear" w:color="auto" w:fill="auto"/>
                <w:lang w:val="en-US" w:eastAsia="zh-CN"/>
              </w:rPr>
            </w:pPr>
          </w:p>
        </w:tc>
      </w:tr>
      <w:tr w14:paraId="6C9A8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795" w:type="dxa"/>
            <w:noWrap w:val="0"/>
            <w:vAlign w:val="center"/>
          </w:tcPr>
          <w:p w14:paraId="02CC03FC">
            <w:pPr>
              <w:keepNext w:val="0"/>
              <w:keepLines w:val="0"/>
              <w:pageBreakBefore w:val="0"/>
              <w:widowControl/>
              <w:spacing w:line="360" w:lineRule="exact"/>
              <w:jc w:val="center"/>
              <w:rPr>
                <w:rFonts w:hint="eastAsia" w:ascii="宋体" w:hAnsi="宋体" w:eastAsia="宋体" w:cs="宋体"/>
                <w:b/>
                <w:color w:val="auto"/>
                <w:highlight w:val="none"/>
                <w:shd w:val="clear" w:color="auto" w:fill="auto"/>
                <w:lang w:val="en-US" w:eastAsia="zh-CN"/>
              </w:rPr>
            </w:pPr>
          </w:p>
        </w:tc>
        <w:tc>
          <w:tcPr>
            <w:tcW w:w="2175" w:type="dxa"/>
            <w:noWrap w:val="0"/>
            <w:vAlign w:val="center"/>
          </w:tcPr>
          <w:p w14:paraId="1CCB39A8">
            <w:pPr>
              <w:keepNext w:val="0"/>
              <w:keepLines w:val="0"/>
              <w:pageBreakBefore w:val="0"/>
              <w:widowControl/>
              <w:spacing w:line="360" w:lineRule="exact"/>
              <w:jc w:val="cente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t>服装及装备费用</w:t>
            </w:r>
          </w:p>
        </w:tc>
        <w:tc>
          <w:tcPr>
            <w:tcW w:w="892" w:type="dxa"/>
            <w:noWrap w:val="0"/>
            <w:vAlign w:val="center"/>
          </w:tcPr>
          <w:p w14:paraId="2D8F1BC0">
            <w:pPr>
              <w:keepNext w:val="0"/>
              <w:keepLines w:val="0"/>
              <w:pageBreakBefore w:val="0"/>
              <w:widowControl/>
              <w:spacing w:line="320" w:lineRule="exact"/>
              <w:ind w:left="0" w:leftChars="0" w:firstLine="0" w:firstLineChars="0"/>
              <w:jc w:val="center"/>
              <w:rPr>
                <w:rFonts w:hint="eastAsia" w:ascii="宋体" w:hAnsi="宋体" w:eastAsia="宋体" w:cs="宋体"/>
                <w:b w:val="0"/>
                <w:bCs/>
                <w:color w:val="auto"/>
                <w:highlight w:val="none"/>
                <w:shd w:val="clear" w:color="auto" w:fill="auto"/>
                <w:lang w:val="en-US" w:eastAsia="zh-CN"/>
              </w:rPr>
            </w:pPr>
            <w:r>
              <w:rPr>
                <w:rFonts w:hint="eastAsia"/>
                <w:sz w:val="22"/>
                <w:szCs w:val="22"/>
                <w:vertAlign w:val="baseline"/>
                <w:lang w:val="en-US" w:eastAsia="zh-CN"/>
              </w:rPr>
              <w:t>人*年</w:t>
            </w:r>
          </w:p>
        </w:tc>
        <w:tc>
          <w:tcPr>
            <w:tcW w:w="975" w:type="dxa"/>
            <w:noWrap w:val="0"/>
            <w:vAlign w:val="center"/>
          </w:tcPr>
          <w:p w14:paraId="32A6A996">
            <w:pPr>
              <w:keepNext w:val="0"/>
              <w:keepLines w:val="0"/>
              <w:pageBreakBefore w:val="0"/>
              <w:widowControl/>
              <w:spacing w:line="320" w:lineRule="exact"/>
              <w:ind w:left="0" w:leftChars="0" w:firstLine="0" w:firstLineChars="0"/>
              <w:jc w:val="center"/>
              <w:rPr>
                <w:rFonts w:hint="eastAsia" w:ascii="宋体" w:hAnsi="宋体" w:eastAsia="宋体" w:cs="宋体"/>
                <w:b/>
                <w:color w:val="auto"/>
                <w:highlight w:val="none"/>
                <w:shd w:val="clear" w:color="auto" w:fill="auto"/>
              </w:rPr>
            </w:pPr>
            <w:r>
              <w:rPr>
                <w:rFonts w:hint="eastAsia"/>
                <w:sz w:val="22"/>
                <w:szCs w:val="22"/>
                <w:vertAlign w:val="baseline"/>
                <w:lang w:val="en-US" w:eastAsia="zh-CN"/>
              </w:rPr>
              <w:t>22</w:t>
            </w:r>
          </w:p>
        </w:tc>
        <w:tc>
          <w:tcPr>
            <w:tcW w:w="1215" w:type="dxa"/>
            <w:noWrap w:val="0"/>
            <w:vAlign w:val="center"/>
          </w:tcPr>
          <w:p w14:paraId="5C91290B">
            <w:pPr>
              <w:keepNext w:val="0"/>
              <w:keepLines w:val="0"/>
              <w:pageBreakBefore w:val="0"/>
              <w:spacing w:line="360" w:lineRule="exact"/>
              <w:jc w:val="center"/>
              <w:rPr>
                <w:rFonts w:hint="eastAsia" w:ascii="宋体" w:hAnsi="宋体" w:eastAsia="宋体" w:cs="宋体"/>
                <w:b/>
                <w:color w:val="auto"/>
                <w:highlight w:val="none"/>
                <w:shd w:val="clear" w:color="auto" w:fill="auto"/>
              </w:rPr>
            </w:pPr>
          </w:p>
        </w:tc>
        <w:tc>
          <w:tcPr>
            <w:tcW w:w="1260" w:type="dxa"/>
            <w:noWrap w:val="0"/>
            <w:vAlign w:val="center"/>
          </w:tcPr>
          <w:p w14:paraId="2402231C">
            <w:pPr>
              <w:keepNext w:val="0"/>
              <w:keepLines w:val="0"/>
              <w:pageBreakBefore w:val="0"/>
              <w:spacing w:line="360" w:lineRule="exact"/>
              <w:jc w:val="left"/>
              <w:rPr>
                <w:rFonts w:hint="eastAsia" w:ascii="宋体" w:hAnsi="宋体" w:eastAsia="宋体" w:cs="宋体"/>
                <w:b/>
                <w:color w:val="auto"/>
                <w:highlight w:val="none"/>
                <w:shd w:val="clear" w:color="auto" w:fill="auto"/>
              </w:rPr>
            </w:pPr>
          </w:p>
        </w:tc>
        <w:tc>
          <w:tcPr>
            <w:tcW w:w="2640" w:type="dxa"/>
            <w:noWrap w:val="0"/>
            <w:vAlign w:val="center"/>
          </w:tcPr>
          <w:p w14:paraId="3DC1FF66">
            <w:pPr>
              <w:keepNext w:val="0"/>
              <w:keepLines w:val="0"/>
              <w:pageBreakBefore w:val="0"/>
              <w:widowControl w:val="0"/>
              <w:spacing w:line="360" w:lineRule="exact"/>
              <w:jc w:val="left"/>
              <w:rPr>
                <w:rFonts w:hint="eastAsia" w:ascii="宋体" w:hAnsi="宋体" w:eastAsia="宋体" w:cs="宋体"/>
                <w:color w:val="000000"/>
                <w:sz w:val="21"/>
                <w:szCs w:val="21"/>
              </w:rPr>
            </w:pPr>
            <w:r>
              <w:rPr>
                <w:rFonts w:hint="eastAsia" w:ascii="宋体" w:hAnsi="宋体" w:eastAsia="宋体" w:cs="宋体"/>
                <w:color w:val="000000"/>
                <w:sz w:val="21"/>
                <w:szCs w:val="21"/>
                <w:lang w:val="zh-CN"/>
              </w:rPr>
              <w:t>不低于</w:t>
            </w:r>
            <w:r>
              <w:rPr>
                <w:rFonts w:hint="eastAsia" w:ascii="宋体" w:hAnsi="宋体" w:eastAsia="宋体" w:cs="宋体"/>
                <w:color w:val="000000"/>
                <w:sz w:val="21"/>
                <w:szCs w:val="21"/>
                <w:lang w:val="en-US" w:eastAsia="zh-CN"/>
              </w:rPr>
              <w:t>1000.00</w:t>
            </w:r>
            <w:r>
              <w:rPr>
                <w:rFonts w:hint="eastAsia" w:ascii="宋体" w:hAnsi="宋体" w:eastAsia="宋体" w:cs="宋体"/>
                <w:color w:val="000000"/>
                <w:sz w:val="21"/>
                <w:szCs w:val="21"/>
                <w:lang w:val="zh-CN"/>
              </w:rPr>
              <w:t>元/人每年</w:t>
            </w:r>
          </w:p>
        </w:tc>
      </w:tr>
      <w:tr w14:paraId="49D77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795" w:type="dxa"/>
            <w:noWrap w:val="0"/>
            <w:vAlign w:val="center"/>
          </w:tcPr>
          <w:p w14:paraId="59595A16">
            <w:pPr>
              <w:keepNext w:val="0"/>
              <w:keepLines w:val="0"/>
              <w:pageBreakBefore w:val="0"/>
              <w:widowControl/>
              <w:spacing w:line="360" w:lineRule="exact"/>
              <w:jc w:val="center"/>
              <w:rPr>
                <w:rFonts w:hint="eastAsia" w:ascii="宋体" w:hAnsi="宋体" w:eastAsia="宋体" w:cs="宋体"/>
                <w:b/>
                <w:color w:val="auto"/>
                <w:highlight w:val="none"/>
                <w:shd w:val="clear" w:color="auto" w:fill="auto"/>
                <w:lang w:val="en-US" w:eastAsia="zh-CN"/>
              </w:rPr>
            </w:pPr>
          </w:p>
        </w:tc>
        <w:tc>
          <w:tcPr>
            <w:tcW w:w="2175" w:type="dxa"/>
            <w:noWrap w:val="0"/>
            <w:vAlign w:val="center"/>
          </w:tcPr>
          <w:p w14:paraId="0FD573EE">
            <w:pPr>
              <w:keepNext w:val="0"/>
              <w:keepLines w:val="0"/>
              <w:pageBreakBefore w:val="0"/>
              <w:widowControl/>
              <w:spacing w:line="360" w:lineRule="exact"/>
              <w:jc w:val="cente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t>员工</w:t>
            </w:r>
            <w:r>
              <w:rPr>
                <w:rFonts w:hint="eastAsia" w:ascii="宋体" w:hAnsi="宋体" w:eastAsia="宋体" w:cs="宋体"/>
                <w:color w:val="auto"/>
                <w:highlight w:val="none"/>
                <w:shd w:val="clear" w:color="auto" w:fill="auto"/>
                <w:lang w:val="en-US" w:eastAsia="zh-CN"/>
              </w:rPr>
              <w:t>福利</w:t>
            </w:r>
          </w:p>
        </w:tc>
        <w:tc>
          <w:tcPr>
            <w:tcW w:w="892" w:type="dxa"/>
            <w:noWrap w:val="0"/>
            <w:vAlign w:val="center"/>
          </w:tcPr>
          <w:p w14:paraId="10982D92">
            <w:pPr>
              <w:keepNext w:val="0"/>
              <w:keepLines w:val="0"/>
              <w:pageBreakBefore w:val="0"/>
              <w:widowControl/>
              <w:spacing w:line="320" w:lineRule="exact"/>
              <w:ind w:left="0" w:leftChars="0" w:firstLine="0" w:firstLineChars="0"/>
              <w:jc w:val="center"/>
              <w:rPr>
                <w:rFonts w:hint="eastAsia" w:ascii="宋体" w:hAnsi="宋体" w:eastAsia="宋体" w:cs="宋体"/>
                <w:b w:val="0"/>
                <w:bCs/>
                <w:color w:val="auto"/>
                <w:highlight w:val="none"/>
                <w:shd w:val="clear" w:color="auto" w:fill="auto"/>
                <w:lang w:val="en-US" w:eastAsia="zh-CN"/>
              </w:rPr>
            </w:pPr>
            <w:r>
              <w:rPr>
                <w:rFonts w:hint="eastAsia"/>
                <w:sz w:val="22"/>
                <w:szCs w:val="22"/>
                <w:vertAlign w:val="baseline"/>
                <w:lang w:val="en-US" w:eastAsia="zh-CN"/>
              </w:rPr>
              <w:t>人*年</w:t>
            </w:r>
          </w:p>
        </w:tc>
        <w:tc>
          <w:tcPr>
            <w:tcW w:w="975" w:type="dxa"/>
            <w:noWrap w:val="0"/>
            <w:vAlign w:val="center"/>
          </w:tcPr>
          <w:p w14:paraId="7D8561D1">
            <w:pPr>
              <w:keepNext w:val="0"/>
              <w:keepLines w:val="0"/>
              <w:pageBreakBefore w:val="0"/>
              <w:widowControl/>
              <w:spacing w:line="320" w:lineRule="exact"/>
              <w:ind w:left="0" w:leftChars="0" w:firstLine="0" w:firstLineChars="0"/>
              <w:jc w:val="center"/>
              <w:rPr>
                <w:rFonts w:hint="eastAsia" w:ascii="宋体" w:hAnsi="宋体" w:eastAsia="宋体" w:cs="宋体"/>
                <w:b/>
                <w:color w:val="auto"/>
                <w:highlight w:val="none"/>
                <w:shd w:val="clear" w:color="auto" w:fill="auto"/>
              </w:rPr>
            </w:pPr>
            <w:r>
              <w:rPr>
                <w:rFonts w:hint="eastAsia"/>
                <w:sz w:val="22"/>
                <w:szCs w:val="22"/>
                <w:vertAlign w:val="baseline"/>
                <w:lang w:val="en-US" w:eastAsia="zh-CN"/>
              </w:rPr>
              <w:t>22</w:t>
            </w:r>
          </w:p>
        </w:tc>
        <w:tc>
          <w:tcPr>
            <w:tcW w:w="1215" w:type="dxa"/>
            <w:noWrap w:val="0"/>
            <w:vAlign w:val="center"/>
          </w:tcPr>
          <w:p w14:paraId="1E808F04">
            <w:pPr>
              <w:keepNext w:val="0"/>
              <w:keepLines w:val="0"/>
              <w:pageBreakBefore w:val="0"/>
              <w:spacing w:line="360" w:lineRule="exact"/>
              <w:jc w:val="center"/>
              <w:rPr>
                <w:rFonts w:hint="eastAsia" w:ascii="宋体" w:hAnsi="宋体" w:eastAsia="宋体" w:cs="宋体"/>
                <w:b/>
                <w:color w:val="auto"/>
                <w:highlight w:val="none"/>
                <w:shd w:val="clear" w:color="auto" w:fill="auto"/>
              </w:rPr>
            </w:pPr>
          </w:p>
        </w:tc>
        <w:tc>
          <w:tcPr>
            <w:tcW w:w="1260" w:type="dxa"/>
            <w:noWrap w:val="0"/>
            <w:vAlign w:val="center"/>
          </w:tcPr>
          <w:p w14:paraId="57AD5795">
            <w:pPr>
              <w:keepNext w:val="0"/>
              <w:keepLines w:val="0"/>
              <w:pageBreakBefore w:val="0"/>
              <w:spacing w:line="360" w:lineRule="exact"/>
              <w:jc w:val="left"/>
              <w:rPr>
                <w:rFonts w:hint="eastAsia" w:ascii="宋体" w:hAnsi="宋体" w:eastAsia="宋体" w:cs="宋体"/>
                <w:b/>
                <w:color w:val="auto"/>
                <w:highlight w:val="none"/>
                <w:shd w:val="clear" w:color="auto" w:fill="auto"/>
              </w:rPr>
            </w:pPr>
          </w:p>
        </w:tc>
        <w:tc>
          <w:tcPr>
            <w:tcW w:w="2640" w:type="dxa"/>
            <w:noWrap w:val="0"/>
            <w:vAlign w:val="center"/>
          </w:tcPr>
          <w:p w14:paraId="26404EF0">
            <w:pPr>
              <w:keepNext w:val="0"/>
              <w:keepLines w:val="0"/>
              <w:pageBreakBefore w:val="0"/>
              <w:widowControl w:val="0"/>
              <w:spacing w:line="360" w:lineRule="exact"/>
              <w:jc w:val="left"/>
              <w:rPr>
                <w:rFonts w:hint="eastAsia" w:ascii="宋体" w:hAnsi="宋体" w:eastAsia="宋体" w:cs="宋体"/>
                <w:color w:val="000000"/>
                <w:sz w:val="21"/>
                <w:szCs w:val="21"/>
              </w:rPr>
            </w:pPr>
            <w:r>
              <w:rPr>
                <w:rFonts w:hint="eastAsia" w:ascii="宋体" w:hAnsi="宋体" w:eastAsia="宋体" w:cs="宋体"/>
                <w:color w:val="000000"/>
                <w:sz w:val="21"/>
                <w:szCs w:val="21"/>
                <w:lang w:val="zh-CN"/>
              </w:rPr>
              <w:t>不低于</w:t>
            </w:r>
            <w:r>
              <w:rPr>
                <w:rFonts w:hint="eastAsia" w:ascii="宋体" w:hAnsi="宋体" w:eastAsia="宋体" w:cs="宋体"/>
                <w:color w:val="000000"/>
                <w:sz w:val="21"/>
                <w:szCs w:val="21"/>
                <w:lang w:val="en-US" w:eastAsia="zh-CN"/>
              </w:rPr>
              <w:t>1000.00</w:t>
            </w:r>
            <w:r>
              <w:rPr>
                <w:rFonts w:hint="eastAsia" w:ascii="宋体" w:hAnsi="宋体" w:eastAsia="宋体" w:cs="宋体"/>
                <w:color w:val="000000"/>
                <w:sz w:val="21"/>
                <w:szCs w:val="21"/>
                <w:lang w:val="zh-CN"/>
              </w:rPr>
              <w:t>元/人每年</w:t>
            </w:r>
          </w:p>
        </w:tc>
      </w:tr>
      <w:tr w14:paraId="435B9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795" w:type="dxa"/>
            <w:noWrap w:val="0"/>
            <w:vAlign w:val="center"/>
          </w:tcPr>
          <w:p w14:paraId="67D791F7">
            <w:pPr>
              <w:keepNext w:val="0"/>
              <w:keepLines w:val="0"/>
              <w:pageBreakBefore w:val="0"/>
              <w:widowControl/>
              <w:spacing w:line="360" w:lineRule="exact"/>
              <w:jc w:val="center"/>
              <w:rPr>
                <w:rFonts w:hint="eastAsia" w:ascii="宋体" w:hAnsi="宋体" w:eastAsia="宋体" w:cs="宋体"/>
                <w:b/>
                <w:color w:val="auto"/>
                <w:highlight w:val="none"/>
                <w:shd w:val="clear" w:color="auto" w:fill="auto"/>
                <w:lang w:val="en-US" w:eastAsia="zh-CN"/>
              </w:rPr>
            </w:pPr>
          </w:p>
        </w:tc>
        <w:tc>
          <w:tcPr>
            <w:tcW w:w="2175" w:type="dxa"/>
            <w:noWrap w:val="0"/>
            <w:vAlign w:val="center"/>
          </w:tcPr>
          <w:p w14:paraId="72BEC4E4">
            <w:pPr>
              <w:keepNext w:val="0"/>
              <w:keepLines w:val="0"/>
              <w:pageBreakBefore w:val="0"/>
              <w:widowControl/>
              <w:spacing w:line="360" w:lineRule="exact"/>
              <w:jc w:val="cente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t>办公及清洁耗材费</w:t>
            </w:r>
          </w:p>
        </w:tc>
        <w:tc>
          <w:tcPr>
            <w:tcW w:w="892" w:type="dxa"/>
            <w:noWrap w:val="0"/>
            <w:vAlign w:val="center"/>
          </w:tcPr>
          <w:p w14:paraId="2F194556">
            <w:pPr>
              <w:keepNext w:val="0"/>
              <w:keepLines w:val="0"/>
              <w:pageBreakBefore w:val="0"/>
              <w:widowControl/>
              <w:spacing w:line="320" w:lineRule="exact"/>
              <w:ind w:left="0" w:leftChars="0" w:firstLine="0" w:firstLineChars="0"/>
              <w:jc w:val="center"/>
              <w:rPr>
                <w:rFonts w:hint="eastAsia" w:ascii="宋体" w:hAnsi="宋体" w:eastAsia="宋体" w:cs="宋体"/>
                <w:b w:val="0"/>
                <w:bCs/>
                <w:color w:val="auto"/>
                <w:highlight w:val="none"/>
                <w:shd w:val="clear" w:color="auto" w:fill="auto"/>
                <w:lang w:val="en-US" w:eastAsia="zh-CN"/>
              </w:rPr>
            </w:pPr>
            <w:r>
              <w:rPr>
                <w:rFonts w:hint="eastAsia"/>
                <w:sz w:val="22"/>
                <w:szCs w:val="22"/>
                <w:vertAlign w:val="baseline"/>
                <w:lang w:val="en-US" w:eastAsia="zh-CN"/>
              </w:rPr>
              <w:t>人*年</w:t>
            </w:r>
          </w:p>
        </w:tc>
        <w:tc>
          <w:tcPr>
            <w:tcW w:w="975" w:type="dxa"/>
            <w:noWrap w:val="0"/>
            <w:vAlign w:val="center"/>
          </w:tcPr>
          <w:p w14:paraId="5F05770C">
            <w:pPr>
              <w:keepNext w:val="0"/>
              <w:keepLines w:val="0"/>
              <w:pageBreakBefore w:val="0"/>
              <w:widowControl/>
              <w:spacing w:line="320" w:lineRule="exact"/>
              <w:ind w:left="0" w:leftChars="0" w:firstLine="0" w:firstLineChars="0"/>
              <w:jc w:val="center"/>
              <w:rPr>
                <w:rFonts w:hint="eastAsia" w:ascii="宋体" w:hAnsi="宋体" w:eastAsia="宋体" w:cs="宋体"/>
                <w:b/>
                <w:color w:val="auto"/>
                <w:highlight w:val="none"/>
                <w:shd w:val="clear" w:color="auto" w:fill="auto"/>
              </w:rPr>
            </w:pPr>
            <w:r>
              <w:rPr>
                <w:rFonts w:hint="eastAsia"/>
                <w:sz w:val="22"/>
                <w:szCs w:val="22"/>
                <w:vertAlign w:val="baseline"/>
                <w:lang w:val="en-US" w:eastAsia="zh-CN"/>
              </w:rPr>
              <w:t>22</w:t>
            </w:r>
          </w:p>
        </w:tc>
        <w:tc>
          <w:tcPr>
            <w:tcW w:w="1215" w:type="dxa"/>
            <w:noWrap w:val="0"/>
            <w:vAlign w:val="center"/>
          </w:tcPr>
          <w:p w14:paraId="357EA000">
            <w:pPr>
              <w:keepNext w:val="0"/>
              <w:keepLines w:val="0"/>
              <w:pageBreakBefore w:val="0"/>
              <w:spacing w:line="360" w:lineRule="exact"/>
              <w:jc w:val="center"/>
              <w:rPr>
                <w:rFonts w:hint="eastAsia" w:ascii="宋体" w:hAnsi="宋体" w:eastAsia="宋体" w:cs="宋体"/>
                <w:b/>
                <w:color w:val="auto"/>
                <w:highlight w:val="none"/>
                <w:shd w:val="clear" w:color="auto" w:fill="auto"/>
              </w:rPr>
            </w:pPr>
          </w:p>
        </w:tc>
        <w:tc>
          <w:tcPr>
            <w:tcW w:w="1260" w:type="dxa"/>
            <w:noWrap w:val="0"/>
            <w:vAlign w:val="center"/>
          </w:tcPr>
          <w:p w14:paraId="362B0C65">
            <w:pPr>
              <w:keepNext w:val="0"/>
              <w:keepLines w:val="0"/>
              <w:pageBreakBefore w:val="0"/>
              <w:spacing w:line="360" w:lineRule="exact"/>
              <w:jc w:val="left"/>
              <w:rPr>
                <w:rFonts w:hint="eastAsia" w:ascii="宋体" w:hAnsi="宋体" w:eastAsia="宋体" w:cs="宋体"/>
                <w:b/>
                <w:color w:val="auto"/>
                <w:highlight w:val="none"/>
                <w:shd w:val="clear" w:color="auto" w:fill="auto"/>
              </w:rPr>
            </w:pPr>
          </w:p>
        </w:tc>
        <w:tc>
          <w:tcPr>
            <w:tcW w:w="2640" w:type="dxa"/>
            <w:noWrap w:val="0"/>
            <w:vAlign w:val="center"/>
          </w:tcPr>
          <w:p w14:paraId="4450335D">
            <w:pPr>
              <w:keepNext w:val="0"/>
              <w:keepLines w:val="0"/>
              <w:pageBreakBefore w:val="0"/>
              <w:widowControl w:val="0"/>
              <w:spacing w:line="360" w:lineRule="exact"/>
              <w:jc w:val="left"/>
              <w:rPr>
                <w:rFonts w:hint="eastAsia" w:ascii="宋体" w:hAnsi="宋体" w:eastAsia="宋体" w:cs="宋体"/>
                <w:color w:val="000000"/>
                <w:sz w:val="21"/>
                <w:szCs w:val="21"/>
              </w:rPr>
            </w:pPr>
            <w:r>
              <w:rPr>
                <w:rFonts w:hint="eastAsia" w:ascii="宋体" w:hAnsi="宋体" w:eastAsia="宋体" w:cs="宋体"/>
                <w:color w:val="000000"/>
                <w:sz w:val="21"/>
                <w:szCs w:val="21"/>
                <w:lang w:val="zh-CN"/>
              </w:rPr>
              <w:t>不低于</w:t>
            </w:r>
            <w:r>
              <w:rPr>
                <w:rFonts w:hint="eastAsia" w:ascii="宋体" w:hAnsi="宋体" w:eastAsia="宋体" w:cs="宋体"/>
                <w:color w:val="000000"/>
                <w:sz w:val="21"/>
                <w:szCs w:val="21"/>
                <w:lang w:val="en-US" w:eastAsia="zh-CN"/>
              </w:rPr>
              <w:t>1000.00</w:t>
            </w:r>
            <w:r>
              <w:rPr>
                <w:rFonts w:hint="eastAsia" w:ascii="宋体" w:hAnsi="宋体" w:eastAsia="宋体" w:cs="宋体"/>
                <w:color w:val="000000"/>
                <w:sz w:val="21"/>
                <w:szCs w:val="21"/>
                <w:lang w:val="zh-CN"/>
              </w:rPr>
              <w:t>元/人每年</w:t>
            </w:r>
          </w:p>
        </w:tc>
      </w:tr>
      <w:tr w14:paraId="57A05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795" w:type="dxa"/>
            <w:noWrap w:val="0"/>
            <w:vAlign w:val="center"/>
          </w:tcPr>
          <w:p w14:paraId="3595952F">
            <w:pPr>
              <w:keepNext w:val="0"/>
              <w:keepLines w:val="0"/>
              <w:pageBreakBefore w:val="0"/>
              <w:widowControl/>
              <w:spacing w:line="360" w:lineRule="exact"/>
              <w:jc w:val="center"/>
              <w:rPr>
                <w:rFonts w:hint="eastAsia" w:ascii="宋体" w:hAnsi="宋体" w:eastAsia="宋体" w:cs="宋体"/>
                <w:b/>
                <w:color w:val="auto"/>
                <w:highlight w:val="none"/>
                <w:shd w:val="clear" w:color="auto" w:fill="auto"/>
                <w:lang w:eastAsia="zh-CN"/>
              </w:rPr>
            </w:pPr>
            <w:r>
              <w:rPr>
                <w:rFonts w:hint="eastAsia" w:ascii="宋体" w:hAnsi="宋体" w:eastAsia="宋体" w:cs="宋体"/>
                <w:b/>
                <w:color w:val="auto"/>
                <w:highlight w:val="none"/>
                <w:shd w:val="clear" w:color="auto" w:fill="auto"/>
                <w:lang w:val="en-US" w:eastAsia="zh-CN"/>
              </w:rPr>
              <w:t>3</w:t>
            </w:r>
          </w:p>
        </w:tc>
        <w:tc>
          <w:tcPr>
            <w:tcW w:w="2175" w:type="dxa"/>
            <w:shd w:val="clear" w:color="auto" w:fill="auto"/>
            <w:noWrap w:val="0"/>
            <w:vAlign w:val="center"/>
          </w:tcPr>
          <w:p w14:paraId="580CC1EF">
            <w:pPr>
              <w:keepNext w:val="0"/>
              <w:keepLines w:val="0"/>
              <w:pageBreakBefore w:val="0"/>
              <w:widowControl/>
              <w:spacing w:line="360" w:lineRule="exact"/>
              <w:jc w:val="center"/>
              <w:rPr>
                <w:rFonts w:hint="eastAsia" w:ascii="宋体" w:hAnsi="宋体" w:eastAsia="宋体" w:cs="宋体"/>
                <w:b/>
                <w:color w:val="auto"/>
                <w:sz w:val="21"/>
                <w:szCs w:val="24"/>
                <w:highlight w:val="none"/>
                <w:shd w:val="clear" w:color="auto" w:fill="auto"/>
                <w:lang w:val="en-US" w:eastAsia="zh-CN" w:bidi="ar-SA"/>
              </w:rPr>
            </w:pPr>
            <w:r>
              <w:rPr>
                <w:rFonts w:hint="eastAsia" w:ascii="宋体" w:hAnsi="宋体" w:eastAsia="宋体" w:cs="宋体"/>
                <w:b/>
                <w:color w:val="auto"/>
                <w:sz w:val="21"/>
                <w:szCs w:val="24"/>
                <w:highlight w:val="none"/>
                <w:shd w:val="clear" w:color="auto" w:fill="auto"/>
                <w:lang w:val="en-US" w:eastAsia="zh-CN" w:bidi="ar-SA"/>
              </w:rPr>
              <w:t>耗材</w:t>
            </w:r>
          </w:p>
        </w:tc>
        <w:tc>
          <w:tcPr>
            <w:tcW w:w="892" w:type="dxa"/>
            <w:shd w:val="clear" w:color="auto" w:fill="auto"/>
            <w:noWrap w:val="0"/>
            <w:vAlign w:val="center"/>
          </w:tcPr>
          <w:p w14:paraId="5EDEDD1E">
            <w:pPr>
              <w:keepNext w:val="0"/>
              <w:keepLines w:val="0"/>
              <w:pageBreakBefore w:val="0"/>
              <w:widowControl/>
              <w:spacing w:line="360" w:lineRule="exact"/>
              <w:jc w:val="center"/>
              <w:rPr>
                <w:rFonts w:hint="eastAsia" w:ascii="宋体" w:hAnsi="宋体" w:eastAsia="宋体" w:cs="宋体"/>
                <w:b w:val="0"/>
                <w:bCs/>
                <w:color w:val="auto"/>
                <w:sz w:val="21"/>
                <w:szCs w:val="24"/>
                <w:highlight w:val="none"/>
                <w:shd w:val="clear" w:color="auto" w:fill="auto"/>
                <w:lang w:val="en-US" w:eastAsia="zh-CN" w:bidi="ar-SA"/>
              </w:rPr>
            </w:pPr>
            <w:r>
              <w:rPr>
                <w:rFonts w:hint="eastAsia" w:ascii="宋体" w:hAnsi="宋体" w:eastAsia="宋体" w:cs="宋体"/>
                <w:b w:val="0"/>
                <w:bCs/>
                <w:color w:val="auto"/>
                <w:sz w:val="21"/>
                <w:szCs w:val="24"/>
                <w:highlight w:val="none"/>
                <w:shd w:val="clear" w:color="auto" w:fill="auto"/>
                <w:lang w:val="en-US" w:eastAsia="zh-CN" w:bidi="ar-SA"/>
              </w:rPr>
              <w:t>项</w:t>
            </w:r>
          </w:p>
        </w:tc>
        <w:tc>
          <w:tcPr>
            <w:tcW w:w="975" w:type="dxa"/>
            <w:noWrap w:val="0"/>
            <w:vAlign w:val="center"/>
          </w:tcPr>
          <w:p w14:paraId="095C7708">
            <w:pPr>
              <w:keepNext w:val="0"/>
              <w:keepLines w:val="0"/>
              <w:pageBreakBefore w:val="0"/>
              <w:widowControl/>
              <w:spacing w:line="360" w:lineRule="exact"/>
              <w:jc w:val="center"/>
              <w:rPr>
                <w:rFonts w:hint="eastAsia" w:ascii="宋体" w:hAnsi="宋体" w:eastAsia="宋体" w:cs="宋体"/>
                <w:b/>
                <w:color w:val="auto"/>
                <w:highlight w:val="none"/>
                <w:shd w:val="clear" w:color="auto" w:fill="auto"/>
                <w:lang w:eastAsia="zh-CN"/>
              </w:rPr>
            </w:pPr>
            <w:r>
              <w:rPr>
                <w:rFonts w:hint="eastAsia" w:ascii="宋体" w:hAnsi="宋体" w:eastAsia="宋体" w:cs="宋体"/>
                <w:b/>
                <w:color w:val="auto"/>
                <w:highlight w:val="none"/>
                <w:shd w:val="clear" w:color="auto" w:fill="auto"/>
                <w:lang w:eastAsia="zh-CN"/>
              </w:rPr>
              <w:t>年</w:t>
            </w:r>
          </w:p>
        </w:tc>
        <w:tc>
          <w:tcPr>
            <w:tcW w:w="1215" w:type="dxa"/>
            <w:noWrap w:val="0"/>
            <w:vAlign w:val="center"/>
          </w:tcPr>
          <w:p w14:paraId="12FEB1F4">
            <w:pPr>
              <w:keepNext w:val="0"/>
              <w:keepLines w:val="0"/>
              <w:pageBreakBefore w:val="0"/>
              <w:spacing w:line="360" w:lineRule="exact"/>
              <w:jc w:val="center"/>
              <w:rPr>
                <w:rFonts w:hint="eastAsia" w:ascii="宋体" w:hAnsi="宋体" w:eastAsia="宋体" w:cs="宋体"/>
                <w:b/>
                <w:color w:val="auto"/>
                <w:highlight w:val="none"/>
                <w:shd w:val="clear" w:color="auto" w:fill="auto"/>
              </w:rPr>
            </w:pPr>
          </w:p>
        </w:tc>
        <w:tc>
          <w:tcPr>
            <w:tcW w:w="1260" w:type="dxa"/>
            <w:noWrap w:val="0"/>
            <w:vAlign w:val="center"/>
          </w:tcPr>
          <w:p w14:paraId="00F95EFE">
            <w:pPr>
              <w:keepNext w:val="0"/>
              <w:keepLines w:val="0"/>
              <w:pageBreakBefore w:val="0"/>
              <w:spacing w:line="360" w:lineRule="exact"/>
              <w:jc w:val="left"/>
              <w:rPr>
                <w:rFonts w:hint="eastAsia" w:ascii="宋体" w:hAnsi="宋体" w:eastAsia="宋体" w:cs="宋体"/>
                <w:b/>
                <w:color w:val="auto"/>
                <w:highlight w:val="none"/>
                <w:shd w:val="clear" w:color="auto" w:fill="auto"/>
              </w:rPr>
            </w:pPr>
          </w:p>
        </w:tc>
        <w:tc>
          <w:tcPr>
            <w:tcW w:w="2640" w:type="dxa"/>
            <w:noWrap w:val="0"/>
            <w:vAlign w:val="center"/>
          </w:tcPr>
          <w:p w14:paraId="0EAD4B96">
            <w:pPr>
              <w:keepNext w:val="0"/>
              <w:keepLines w:val="0"/>
              <w:pageBreakBefore w:val="0"/>
              <w:widowControl w:val="0"/>
              <w:spacing w:line="360" w:lineRule="exact"/>
              <w:jc w:val="left"/>
              <w:rPr>
                <w:rFonts w:hint="eastAsia" w:ascii="宋体" w:hAnsi="宋体" w:eastAsia="宋体" w:cs="宋体"/>
                <w:b/>
                <w:color w:val="auto"/>
                <w:highlight w:val="none"/>
                <w:shd w:val="clear" w:color="auto" w:fill="auto"/>
              </w:rPr>
            </w:pPr>
          </w:p>
        </w:tc>
      </w:tr>
      <w:tr w14:paraId="70C3C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795" w:type="dxa"/>
            <w:noWrap w:val="0"/>
            <w:vAlign w:val="center"/>
          </w:tcPr>
          <w:p w14:paraId="63CD21B1">
            <w:pPr>
              <w:keepNext w:val="0"/>
              <w:keepLines w:val="0"/>
              <w:pageBreakBefore w:val="0"/>
              <w:widowControl/>
              <w:spacing w:line="360" w:lineRule="exact"/>
              <w:jc w:val="center"/>
              <w:rPr>
                <w:rFonts w:hint="eastAsia" w:ascii="宋体" w:hAnsi="宋体" w:eastAsia="宋体" w:cs="宋体"/>
                <w:b/>
                <w:color w:val="auto"/>
                <w:highlight w:val="none"/>
                <w:shd w:val="clear" w:color="auto" w:fill="auto"/>
                <w:lang w:val="en-US" w:eastAsia="zh-CN"/>
              </w:rPr>
            </w:pPr>
            <w:r>
              <w:rPr>
                <w:rFonts w:hint="eastAsia" w:ascii="宋体" w:hAnsi="宋体" w:eastAsia="宋体" w:cs="宋体"/>
                <w:b/>
                <w:color w:val="auto"/>
                <w:highlight w:val="none"/>
                <w:shd w:val="clear" w:color="auto" w:fill="auto"/>
                <w:lang w:val="en-US" w:eastAsia="zh-CN"/>
              </w:rPr>
              <w:t>4</w:t>
            </w:r>
          </w:p>
        </w:tc>
        <w:tc>
          <w:tcPr>
            <w:tcW w:w="2175" w:type="dxa"/>
            <w:shd w:val="clear" w:color="auto" w:fill="auto"/>
            <w:noWrap w:val="0"/>
            <w:vAlign w:val="center"/>
          </w:tcPr>
          <w:p w14:paraId="3AE2FFEB">
            <w:pPr>
              <w:keepNext w:val="0"/>
              <w:keepLines w:val="0"/>
              <w:pageBreakBefore w:val="0"/>
              <w:widowControl/>
              <w:spacing w:line="360" w:lineRule="exact"/>
              <w:jc w:val="center"/>
              <w:rPr>
                <w:rFonts w:hint="eastAsia" w:ascii="宋体" w:hAnsi="宋体" w:eastAsia="宋体" w:cs="宋体"/>
                <w:b/>
                <w:color w:val="auto"/>
                <w:sz w:val="21"/>
                <w:szCs w:val="24"/>
                <w:highlight w:val="none"/>
                <w:shd w:val="clear" w:color="auto" w:fill="auto"/>
                <w:lang w:val="en-US" w:eastAsia="zh-CN" w:bidi="ar-SA"/>
              </w:rPr>
            </w:pPr>
            <w:r>
              <w:rPr>
                <w:rFonts w:hint="eastAsia" w:ascii="宋体" w:hAnsi="宋体" w:eastAsia="宋体" w:cs="宋体"/>
                <w:b/>
                <w:color w:val="auto"/>
                <w:sz w:val="21"/>
                <w:szCs w:val="24"/>
                <w:highlight w:val="none"/>
                <w:shd w:val="clear" w:color="auto" w:fill="auto"/>
                <w:lang w:val="en-US" w:eastAsia="zh-CN" w:bidi="ar-SA"/>
              </w:rPr>
              <w:t>不可预见费</w:t>
            </w:r>
          </w:p>
        </w:tc>
        <w:tc>
          <w:tcPr>
            <w:tcW w:w="892" w:type="dxa"/>
            <w:shd w:val="clear" w:color="auto" w:fill="auto"/>
            <w:noWrap w:val="0"/>
            <w:vAlign w:val="center"/>
          </w:tcPr>
          <w:p w14:paraId="7D51BAE2">
            <w:pPr>
              <w:keepNext w:val="0"/>
              <w:keepLines w:val="0"/>
              <w:pageBreakBefore w:val="0"/>
              <w:widowControl/>
              <w:spacing w:line="360" w:lineRule="exact"/>
              <w:jc w:val="center"/>
              <w:rPr>
                <w:rFonts w:hint="eastAsia" w:ascii="宋体" w:hAnsi="宋体" w:eastAsia="宋体" w:cs="宋体"/>
                <w:b w:val="0"/>
                <w:bCs/>
                <w:color w:val="auto"/>
                <w:sz w:val="21"/>
                <w:szCs w:val="24"/>
                <w:highlight w:val="none"/>
                <w:shd w:val="clear" w:color="auto" w:fill="auto"/>
                <w:lang w:val="en-US" w:eastAsia="zh-CN" w:bidi="ar-SA"/>
              </w:rPr>
            </w:pPr>
            <w:r>
              <w:rPr>
                <w:rFonts w:hint="eastAsia" w:ascii="宋体" w:hAnsi="宋体" w:eastAsia="宋体" w:cs="宋体"/>
                <w:b w:val="0"/>
                <w:bCs/>
                <w:color w:val="auto"/>
                <w:highlight w:val="none"/>
                <w:shd w:val="clear" w:color="auto" w:fill="auto"/>
                <w:lang w:val="en-US" w:eastAsia="zh-CN"/>
              </w:rPr>
              <w:t>项</w:t>
            </w:r>
          </w:p>
        </w:tc>
        <w:tc>
          <w:tcPr>
            <w:tcW w:w="975" w:type="dxa"/>
            <w:shd w:val="clear" w:color="auto" w:fill="auto"/>
            <w:noWrap w:val="0"/>
            <w:vAlign w:val="center"/>
          </w:tcPr>
          <w:p w14:paraId="11D5B6C7">
            <w:pPr>
              <w:keepNext w:val="0"/>
              <w:keepLines w:val="0"/>
              <w:pageBreakBefore w:val="0"/>
              <w:widowControl/>
              <w:spacing w:line="360" w:lineRule="exact"/>
              <w:jc w:val="center"/>
              <w:rPr>
                <w:rFonts w:hint="eastAsia" w:ascii="宋体" w:hAnsi="宋体" w:eastAsia="宋体" w:cs="宋体"/>
                <w:b/>
                <w:color w:val="auto"/>
                <w:sz w:val="21"/>
                <w:szCs w:val="24"/>
                <w:highlight w:val="none"/>
                <w:shd w:val="clear" w:color="auto" w:fill="auto"/>
                <w:lang w:val="en-US" w:eastAsia="zh-CN" w:bidi="ar-SA"/>
              </w:rPr>
            </w:pPr>
            <w:r>
              <w:rPr>
                <w:rFonts w:hint="eastAsia" w:ascii="宋体" w:hAnsi="宋体" w:eastAsia="宋体" w:cs="宋体"/>
                <w:b/>
                <w:color w:val="auto"/>
                <w:sz w:val="21"/>
                <w:szCs w:val="24"/>
                <w:highlight w:val="none"/>
                <w:shd w:val="clear" w:color="auto" w:fill="auto"/>
                <w:lang w:val="en-US" w:eastAsia="zh-CN" w:bidi="ar-SA"/>
              </w:rPr>
              <w:t>年</w:t>
            </w:r>
          </w:p>
        </w:tc>
        <w:tc>
          <w:tcPr>
            <w:tcW w:w="1215" w:type="dxa"/>
            <w:shd w:val="clear" w:color="auto" w:fill="auto"/>
            <w:noWrap w:val="0"/>
            <w:vAlign w:val="center"/>
          </w:tcPr>
          <w:p w14:paraId="11385283">
            <w:pPr>
              <w:keepNext w:val="0"/>
              <w:keepLines w:val="0"/>
              <w:pageBreakBefore w:val="0"/>
              <w:spacing w:line="360" w:lineRule="exact"/>
              <w:jc w:val="center"/>
              <w:rPr>
                <w:rFonts w:hint="eastAsia" w:ascii="宋体" w:hAnsi="宋体" w:eastAsia="宋体" w:cs="宋体"/>
                <w:b/>
                <w:color w:val="auto"/>
                <w:sz w:val="21"/>
                <w:szCs w:val="24"/>
                <w:highlight w:val="none"/>
                <w:shd w:val="clear" w:color="auto" w:fill="auto"/>
                <w:lang w:val="en-US" w:eastAsia="zh-CN" w:bidi="ar-SA"/>
              </w:rPr>
            </w:pPr>
          </w:p>
        </w:tc>
        <w:tc>
          <w:tcPr>
            <w:tcW w:w="1260" w:type="dxa"/>
            <w:shd w:val="clear" w:color="auto" w:fill="auto"/>
            <w:noWrap w:val="0"/>
            <w:vAlign w:val="center"/>
          </w:tcPr>
          <w:p w14:paraId="16CEA4DE">
            <w:pPr>
              <w:keepNext w:val="0"/>
              <w:keepLines w:val="0"/>
              <w:pageBreakBefore w:val="0"/>
              <w:spacing w:line="360" w:lineRule="exact"/>
              <w:jc w:val="left"/>
              <w:rPr>
                <w:rFonts w:hint="eastAsia" w:ascii="宋体" w:hAnsi="宋体" w:eastAsia="宋体" w:cs="宋体"/>
                <w:b/>
                <w:color w:val="auto"/>
                <w:sz w:val="21"/>
                <w:szCs w:val="24"/>
                <w:highlight w:val="none"/>
                <w:shd w:val="clear" w:color="auto" w:fill="auto"/>
                <w:lang w:val="en-US" w:eastAsia="zh-CN" w:bidi="ar-SA"/>
              </w:rPr>
            </w:pPr>
          </w:p>
        </w:tc>
        <w:tc>
          <w:tcPr>
            <w:tcW w:w="2640" w:type="dxa"/>
            <w:shd w:val="clear" w:color="auto" w:fill="auto"/>
            <w:noWrap w:val="0"/>
            <w:vAlign w:val="center"/>
          </w:tcPr>
          <w:p w14:paraId="141D0C27">
            <w:pPr>
              <w:keepNext w:val="0"/>
              <w:keepLines w:val="0"/>
              <w:pageBreakBefore w:val="0"/>
              <w:widowControl w:val="0"/>
              <w:spacing w:line="360" w:lineRule="exact"/>
              <w:jc w:val="left"/>
              <w:rPr>
                <w:rFonts w:hint="eastAsia" w:ascii="宋体" w:hAnsi="宋体" w:eastAsia="宋体" w:cs="宋体"/>
                <w:b/>
                <w:color w:val="auto"/>
                <w:sz w:val="21"/>
                <w:szCs w:val="24"/>
                <w:highlight w:val="none"/>
                <w:shd w:val="clear" w:color="auto" w:fill="auto"/>
                <w:lang w:val="en-US" w:eastAsia="zh-CN" w:bidi="ar-SA"/>
              </w:rPr>
            </w:pPr>
          </w:p>
        </w:tc>
      </w:tr>
      <w:tr w14:paraId="7785B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795" w:type="dxa"/>
            <w:noWrap w:val="0"/>
            <w:vAlign w:val="center"/>
          </w:tcPr>
          <w:p w14:paraId="17196595">
            <w:pPr>
              <w:keepNext w:val="0"/>
              <w:keepLines w:val="0"/>
              <w:pageBreakBefore w:val="0"/>
              <w:widowControl/>
              <w:spacing w:line="360" w:lineRule="exact"/>
              <w:jc w:val="center"/>
              <w:rPr>
                <w:rFonts w:hint="eastAsia" w:ascii="宋体" w:hAnsi="宋体" w:eastAsia="宋体" w:cs="宋体"/>
                <w:b/>
                <w:color w:val="auto"/>
                <w:highlight w:val="none"/>
                <w:shd w:val="clear" w:color="auto" w:fill="auto"/>
                <w:lang w:val="en-US" w:eastAsia="zh-CN"/>
              </w:rPr>
            </w:pPr>
            <w:r>
              <w:rPr>
                <w:rFonts w:hint="eastAsia" w:ascii="宋体" w:hAnsi="宋体" w:eastAsia="宋体" w:cs="宋体"/>
                <w:b/>
                <w:color w:val="auto"/>
                <w:highlight w:val="none"/>
                <w:shd w:val="clear" w:color="auto" w:fill="auto"/>
                <w:lang w:val="en-US" w:eastAsia="zh-CN"/>
              </w:rPr>
              <w:t>5</w:t>
            </w:r>
          </w:p>
        </w:tc>
        <w:tc>
          <w:tcPr>
            <w:tcW w:w="2175" w:type="dxa"/>
            <w:shd w:val="clear" w:color="auto" w:fill="auto"/>
            <w:noWrap w:val="0"/>
            <w:vAlign w:val="center"/>
          </w:tcPr>
          <w:p w14:paraId="2F16BBD5">
            <w:pPr>
              <w:keepNext w:val="0"/>
              <w:keepLines w:val="0"/>
              <w:pageBreakBefore w:val="0"/>
              <w:widowControl/>
              <w:spacing w:line="360" w:lineRule="exact"/>
              <w:jc w:val="center"/>
              <w:rPr>
                <w:rFonts w:hint="eastAsia" w:ascii="宋体" w:hAnsi="宋体" w:eastAsia="宋体" w:cs="宋体"/>
                <w:b/>
                <w:color w:val="auto"/>
                <w:sz w:val="21"/>
                <w:szCs w:val="24"/>
                <w:highlight w:val="none"/>
                <w:shd w:val="clear" w:color="auto" w:fill="auto"/>
                <w:lang w:val="en-US" w:eastAsia="zh-CN" w:bidi="ar-SA"/>
              </w:rPr>
            </w:pPr>
            <w:r>
              <w:rPr>
                <w:rFonts w:hint="eastAsia" w:ascii="宋体" w:hAnsi="宋体" w:eastAsia="宋体" w:cs="宋体"/>
                <w:b/>
                <w:color w:val="auto"/>
                <w:highlight w:val="none"/>
                <w:shd w:val="clear" w:color="auto" w:fill="auto"/>
                <w:lang w:eastAsia="zh-CN"/>
              </w:rPr>
              <w:t>企业管理费</w:t>
            </w:r>
          </w:p>
        </w:tc>
        <w:tc>
          <w:tcPr>
            <w:tcW w:w="892" w:type="dxa"/>
            <w:shd w:val="clear" w:color="auto" w:fill="auto"/>
            <w:noWrap w:val="0"/>
            <w:vAlign w:val="center"/>
          </w:tcPr>
          <w:p w14:paraId="54712ADD">
            <w:pPr>
              <w:keepNext w:val="0"/>
              <w:keepLines w:val="0"/>
              <w:pageBreakBefore w:val="0"/>
              <w:widowControl/>
              <w:spacing w:line="360" w:lineRule="exact"/>
              <w:jc w:val="center"/>
              <w:rPr>
                <w:rFonts w:hint="eastAsia" w:ascii="宋体" w:hAnsi="宋体" w:eastAsia="宋体" w:cs="宋体"/>
                <w:b w:val="0"/>
                <w:bCs/>
                <w:color w:val="auto"/>
                <w:sz w:val="21"/>
                <w:szCs w:val="24"/>
                <w:highlight w:val="none"/>
                <w:shd w:val="clear" w:color="auto" w:fill="auto"/>
                <w:lang w:val="en-US" w:eastAsia="zh-CN" w:bidi="ar-SA"/>
              </w:rPr>
            </w:pPr>
            <w:r>
              <w:rPr>
                <w:rFonts w:hint="eastAsia" w:ascii="宋体" w:hAnsi="宋体" w:eastAsia="宋体" w:cs="宋体"/>
                <w:b w:val="0"/>
                <w:bCs/>
                <w:color w:val="auto"/>
                <w:sz w:val="21"/>
                <w:szCs w:val="24"/>
                <w:highlight w:val="none"/>
                <w:shd w:val="clear" w:color="auto" w:fill="auto"/>
                <w:lang w:val="en-US" w:eastAsia="zh-CN" w:bidi="ar-SA"/>
              </w:rPr>
              <w:t>项</w:t>
            </w:r>
          </w:p>
        </w:tc>
        <w:tc>
          <w:tcPr>
            <w:tcW w:w="975" w:type="dxa"/>
            <w:shd w:val="clear" w:color="auto" w:fill="auto"/>
            <w:noWrap w:val="0"/>
            <w:vAlign w:val="center"/>
          </w:tcPr>
          <w:p w14:paraId="64627606">
            <w:pPr>
              <w:keepNext w:val="0"/>
              <w:keepLines w:val="0"/>
              <w:pageBreakBefore w:val="0"/>
              <w:widowControl/>
              <w:spacing w:line="360" w:lineRule="exact"/>
              <w:jc w:val="center"/>
              <w:rPr>
                <w:rFonts w:hint="eastAsia" w:ascii="宋体" w:hAnsi="宋体" w:eastAsia="宋体" w:cs="宋体"/>
                <w:b/>
                <w:color w:val="auto"/>
                <w:sz w:val="21"/>
                <w:szCs w:val="24"/>
                <w:highlight w:val="none"/>
                <w:shd w:val="clear" w:color="auto" w:fill="auto"/>
                <w:lang w:val="en-US" w:eastAsia="zh-CN" w:bidi="ar-SA"/>
              </w:rPr>
            </w:pPr>
            <w:r>
              <w:rPr>
                <w:rFonts w:hint="eastAsia" w:ascii="宋体" w:hAnsi="宋体" w:eastAsia="宋体" w:cs="宋体"/>
                <w:b/>
                <w:color w:val="auto"/>
                <w:sz w:val="21"/>
                <w:szCs w:val="24"/>
                <w:highlight w:val="none"/>
                <w:shd w:val="clear" w:color="auto" w:fill="auto"/>
                <w:lang w:val="en-US" w:eastAsia="zh-CN" w:bidi="ar-SA"/>
              </w:rPr>
              <w:t>年</w:t>
            </w:r>
          </w:p>
        </w:tc>
        <w:tc>
          <w:tcPr>
            <w:tcW w:w="1215" w:type="dxa"/>
            <w:shd w:val="clear" w:color="auto" w:fill="auto"/>
            <w:noWrap w:val="0"/>
            <w:vAlign w:val="center"/>
          </w:tcPr>
          <w:p w14:paraId="7BF526DF">
            <w:pPr>
              <w:keepNext w:val="0"/>
              <w:keepLines w:val="0"/>
              <w:pageBreakBefore w:val="0"/>
              <w:spacing w:line="360" w:lineRule="exact"/>
              <w:jc w:val="center"/>
              <w:rPr>
                <w:rFonts w:hint="eastAsia" w:ascii="宋体" w:hAnsi="宋体" w:eastAsia="宋体" w:cs="宋体"/>
                <w:b/>
                <w:color w:val="auto"/>
                <w:sz w:val="21"/>
                <w:szCs w:val="24"/>
                <w:highlight w:val="none"/>
                <w:shd w:val="clear" w:color="auto" w:fill="auto"/>
                <w:lang w:val="en-US" w:eastAsia="zh-CN" w:bidi="ar-SA"/>
              </w:rPr>
            </w:pPr>
          </w:p>
        </w:tc>
        <w:tc>
          <w:tcPr>
            <w:tcW w:w="1260" w:type="dxa"/>
            <w:shd w:val="clear" w:color="auto" w:fill="auto"/>
            <w:noWrap w:val="0"/>
            <w:vAlign w:val="center"/>
          </w:tcPr>
          <w:p w14:paraId="3FB6EF08">
            <w:pPr>
              <w:keepNext w:val="0"/>
              <w:keepLines w:val="0"/>
              <w:pageBreakBefore w:val="0"/>
              <w:spacing w:line="360" w:lineRule="exact"/>
              <w:jc w:val="left"/>
              <w:rPr>
                <w:rFonts w:hint="eastAsia" w:ascii="宋体" w:hAnsi="宋体" w:eastAsia="宋体" w:cs="宋体"/>
                <w:b/>
                <w:color w:val="auto"/>
                <w:sz w:val="21"/>
                <w:szCs w:val="24"/>
                <w:highlight w:val="none"/>
                <w:shd w:val="clear" w:color="auto" w:fill="auto"/>
                <w:lang w:val="en-US" w:eastAsia="zh-CN" w:bidi="ar-SA"/>
              </w:rPr>
            </w:pPr>
          </w:p>
        </w:tc>
        <w:tc>
          <w:tcPr>
            <w:tcW w:w="2640" w:type="dxa"/>
            <w:shd w:val="clear" w:color="auto" w:fill="auto"/>
            <w:noWrap w:val="0"/>
            <w:vAlign w:val="center"/>
          </w:tcPr>
          <w:p w14:paraId="27C34218">
            <w:pPr>
              <w:keepNext w:val="0"/>
              <w:keepLines w:val="0"/>
              <w:pageBreakBefore w:val="0"/>
              <w:widowControl w:val="0"/>
              <w:spacing w:line="360" w:lineRule="exact"/>
              <w:jc w:val="left"/>
              <w:rPr>
                <w:rFonts w:hint="eastAsia" w:ascii="宋体" w:hAnsi="宋体" w:eastAsia="宋体" w:cs="宋体"/>
                <w:b/>
                <w:color w:val="auto"/>
                <w:sz w:val="21"/>
                <w:szCs w:val="24"/>
                <w:highlight w:val="none"/>
                <w:shd w:val="clear" w:color="auto" w:fill="auto"/>
                <w:lang w:val="en-US" w:eastAsia="zh-CN" w:bidi="ar-SA"/>
              </w:rPr>
            </w:pPr>
          </w:p>
        </w:tc>
      </w:tr>
      <w:tr w14:paraId="43B82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795" w:type="dxa"/>
            <w:noWrap w:val="0"/>
            <w:vAlign w:val="center"/>
          </w:tcPr>
          <w:p w14:paraId="7A7A90AF">
            <w:pPr>
              <w:keepNext w:val="0"/>
              <w:keepLines w:val="0"/>
              <w:pageBreakBefore w:val="0"/>
              <w:widowControl/>
              <w:spacing w:line="360" w:lineRule="exact"/>
              <w:jc w:val="center"/>
              <w:rPr>
                <w:rFonts w:hint="default" w:ascii="宋体" w:hAnsi="宋体" w:eastAsia="宋体" w:cs="宋体"/>
                <w:b/>
                <w:color w:val="auto"/>
                <w:highlight w:val="none"/>
                <w:shd w:val="clear" w:color="auto" w:fill="auto"/>
                <w:lang w:val="en-US" w:eastAsia="zh-CN"/>
              </w:rPr>
            </w:pPr>
            <w:r>
              <w:rPr>
                <w:rFonts w:hint="eastAsia" w:ascii="宋体" w:hAnsi="宋体" w:eastAsia="宋体" w:cs="宋体"/>
                <w:b/>
                <w:color w:val="auto"/>
                <w:highlight w:val="none"/>
                <w:shd w:val="clear" w:color="auto" w:fill="auto"/>
                <w:lang w:val="en-US" w:eastAsia="zh-CN"/>
              </w:rPr>
              <w:t>6</w:t>
            </w:r>
          </w:p>
        </w:tc>
        <w:tc>
          <w:tcPr>
            <w:tcW w:w="2175" w:type="dxa"/>
            <w:shd w:val="clear" w:color="auto" w:fill="auto"/>
            <w:noWrap w:val="0"/>
            <w:vAlign w:val="center"/>
          </w:tcPr>
          <w:p w14:paraId="1B839FB1">
            <w:pPr>
              <w:keepNext w:val="0"/>
              <w:keepLines w:val="0"/>
              <w:pageBreakBefore w:val="0"/>
              <w:widowControl/>
              <w:spacing w:line="360" w:lineRule="exact"/>
              <w:jc w:val="center"/>
              <w:rPr>
                <w:rFonts w:hint="eastAsia" w:ascii="宋体" w:hAnsi="宋体" w:eastAsia="宋体" w:cs="宋体"/>
                <w:b/>
                <w:color w:val="auto"/>
                <w:sz w:val="21"/>
                <w:szCs w:val="24"/>
                <w:highlight w:val="none"/>
                <w:shd w:val="clear" w:color="auto" w:fill="auto"/>
                <w:lang w:val="en-US" w:eastAsia="zh-CN" w:bidi="ar-SA"/>
              </w:rPr>
            </w:pPr>
            <w:r>
              <w:rPr>
                <w:rFonts w:hint="eastAsia" w:ascii="宋体" w:hAnsi="宋体" w:eastAsia="宋体" w:cs="宋体"/>
                <w:b/>
                <w:color w:val="auto"/>
                <w:highlight w:val="none"/>
                <w:shd w:val="clear" w:color="auto" w:fill="auto"/>
              </w:rPr>
              <w:t>法定税费</w:t>
            </w:r>
          </w:p>
        </w:tc>
        <w:tc>
          <w:tcPr>
            <w:tcW w:w="892" w:type="dxa"/>
            <w:shd w:val="clear" w:color="auto" w:fill="auto"/>
            <w:noWrap w:val="0"/>
            <w:vAlign w:val="center"/>
          </w:tcPr>
          <w:p w14:paraId="590FADB7">
            <w:pPr>
              <w:keepNext w:val="0"/>
              <w:keepLines w:val="0"/>
              <w:pageBreakBefore w:val="0"/>
              <w:widowControl/>
              <w:spacing w:line="360" w:lineRule="exact"/>
              <w:jc w:val="center"/>
              <w:rPr>
                <w:rFonts w:hint="eastAsia" w:ascii="宋体" w:hAnsi="宋体" w:eastAsia="宋体" w:cs="宋体"/>
                <w:b/>
                <w:color w:val="auto"/>
                <w:sz w:val="21"/>
                <w:szCs w:val="24"/>
                <w:highlight w:val="none"/>
                <w:shd w:val="clear" w:color="auto" w:fill="auto"/>
                <w:lang w:val="en-US" w:eastAsia="zh-CN" w:bidi="ar-SA"/>
              </w:rPr>
            </w:pPr>
            <w:r>
              <w:rPr>
                <w:rFonts w:hint="eastAsia" w:ascii="宋体" w:hAnsi="宋体" w:eastAsia="宋体" w:cs="宋体"/>
                <w:b w:val="0"/>
                <w:bCs/>
                <w:color w:val="auto"/>
                <w:highlight w:val="none"/>
                <w:shd w:val="clear" w:color="auto" w:fill="auto"/>
                <w:lang w:val="en-US" w:eastAsia="zh-CN"/>
              </w:rPr>
              <w:t>项</w:t>
            </w:r>
          </w:p>
        </w:tc>
        <w:tc>
          <w:tcPr>
            <w:tcW w:w="975" w:type="dxa"/>
            <w:shd w:val="clear" w:color="auto" w:fill="auto"/>
            <w:noWrap w:val="0"/>
            <w:vAlign w:val="center"/>
          </w:tcPr>
          <w:p w14:paraId="0BB6B274">
            <w:pPr>
              <w:keepNext w:val="0"/>
              <w:keepLines w:val="0"/>
              <w:pageBreakBefore w:val="0"/>
              <w:widowControl/>
              <w:spacing w:line="360" w:lineRule="exact"/>
              <w:jc w:val="center"/>
              <w:rPr>
                <w:rFonts w:hint="eastAsia" w:ascii="宋体" w:hAnsi="宋体" w:eastAsia="宋体" w:cs="宋体"/>
                <w:b/>
                <w:color w:val="auto"/>
                <w:sz w:val="21"/>
                <w:szCs w:val="24"/>
                <w:highlight w:val="none"/>
                <w:shd w:val="clear" w:color="auto" w:fill="auto"/>
                <w:lang w:val="en-US" w:eastAsia="zh-CN" w:bidi="ar-SA"/>
              </w:rPr>
            </w:pPr>
            <w:r>
              <w:rPr>
                <w:rFonts w:hint="eastAsia" w:ascii="宋体" w:hAnsi="宋体" w:eastAsia="宋体" w:cs="宋体"/>
                <w:b/>
                <w:color w:val="auto"/>
                <w:sz w:val="21"/>
                <w:szCs w:val="24"/>
                <w:highlight w:val="none"/>
                <w:shd w:val="clear" w:color="auto" w:fill="auto"/>
                <w:lang w:val="en-US" w:eastAsia="zh-CN" w:bidi="ar-SA"/>
              </w:rPr>
              <w:t>年</w:t>
            </w:r>
          </w:p>
        </w:tc>
        <w:tc>
          <w:tcPr>
            <w:tcW w:w="1215" w:type="dxa"/>
            <w:shd w:val="clear" w:color="auto" w:fill="auto"/>
            <w:noWrap w:val="0"/>
            <w:vAlign w:val="center"/>
          </w:tcPr>
          <w:p w14:paraId="0155F2F7">
            <w:pPr>
              <w:keepNext w:val="0"/>
              <w:keepLines w:val="0"/>
              <w:pageBreakBefore w:val="0"/>
              <w:spacing w:line="360" w:lineRule="exact"/>
              <w:jc w:val="center"/>
              <w:rPr>
                <w:rFonts w:hint="eastAsia" w:ascii="宋体" w:hAnsi="宋体" w:eastAsia="宋体" w:cs="宋体"/>
                <w:b/>
                <w:color w:val="auto"/>
                <w:sz w:val="21"/>
                <w:szCs w:val="24"/>
                <w:highlight w:val="none"/>
                <w:shd w:val="clear" w:color="auto" w:fill="auto"/>
                <w:lang w:val="en-US" w:eastAsia="zh-CN" w:bidi="ar-SA"/>
              </w:rPr>
            </w:pPr>
          </w:p>
        </w:tc>
        <w:tc>
          <w:tcPr>
            <w:tcW w:w="1260" w:type="dxa"/>
            <w:shd w:val="clear" w:color="auto" w:fill="auto"/>
            <w:noWrap w:val="0"/>
            <w:vAlign w:val="center"/>
          </w:tcPr>
          <w:p w14:paraId="36E8AC55">
            <w:pPr>
              <w:keepNext w:val="0"/>
              <w:keepLines w:val="0"/>
              <w:pageBreakBefore w:val="0"/>
              <w:spacing w:line="360" w:lineRule="exact"/>
              <w:jc w:val="left"/>
              <w:rPr>
                <w:rFonts w:hint="eastAsia" w:ascii="宋体" w:hAnsi="宋体" w:eastAsia="宋体" w:cs="宋体"/>
                <w:b/>
                <w:color w:val="auto"/>
                <w:sz w:val="21"/>
                <w:szCs w:val="24"/>
                <w:highlight w:val="none"/>
                <w:shd w:val="clear" w:color="auto" w:fill="auto"/>
                <w:lang w:val="en-US" w:eastAsia="zh-CN" w:bidi="ar-SA"/>
              </w:rPr>
            </w:pPr>
          </w:p>
        </w:tc>
        <w:tc>
          <w:tcPr>
            <w:tcW w:w="2640" w:type="dxa"/>
            <w:shd w:val="clear" w:color="auto" w:fill="auto"/>
            <w:noWrap w:val="0"/>
            <w:vAlign w:val="center"/>
          </w:tcPr>
          <w:p w14:paraId="45AE4C04">
            <w:pPr>
              <w:keepNext w:val="0"/>
              <w:keepLines w:val="0"/>
              <w:pageBreakBefore w:val="0"/>
              <w:widowControl w:val="0"/>
              <w:spacing w:line="360" w:lineRule="exact"/>
              <w:jc w:val="left"/>
              <w:rPr>
                <w:rFonts w:hint="eastAsia" w:ascii="宋体" w:hAnsi="宋体" w:eastAsia="宋体" w:cs="宋体"/>
                <w:b/>
                <w:color w:val="auto"/>
                <w:sz w:val="21"/>
                <w:szCs w:val="24"/>
                <w:highlight w:val="none"/>
                <w:shd w:val="clear" w:color="auto" w:fill="auto"/>
                <w:lang w:val="en-US" w:eastAsia="zh-CN" w:bidi="ar-SA"/>
              </w:rPr>
            </w:pPr>
            <w:r>
              <w:rPr>
                <w:rFonts w:hint="eastAsia" w:ascii="宋体" w:hAnsi="宋体" w:eastAsia="宋体" w:cs="宋体"/>
                <w:color w:val="000000"/>
                <w:sz w:val="21"/>
                <w:szCs w:val="21"/>
              </w:rPr>
              <w:t>各</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填报的税率统一按照6.72%计算</w:t>
            </w:r>
            <w:r>
              <w:rPr>
                <w:rFonts w:hint="eastAsia" w:ascii="宋体" w:hAnsi="宋体" w:eastAsia="宋体" w:cs="宋体"/>
                <w:color w:val="000000"/>
                <w:sz w:val="21"/>
                <w:szCs w:val="21"/>
                <w:lang w:eastAsia="zh-CN"/>
              </w:rPr>
              <w:t>。</w:t>
            </w:r>
          </w:p>
        </w:tc>
      </w:tr>
      <w:tr w14:paraId="739A6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2970" w:type="dxa"/>
            <w:gridSpan w:val="2"/>
            <w:noWrap w:val="0"/>
            <w:vAlign w:val="center"/>
          </w:tcPr>
          <w:p w14:paraId="576BBCC3">
            <w:pPr>
              <w:keepNext w:val="0"/>
              <w:keepLines w:val="0"/>
              <w:pageBreakBefore w:val="0"/>
              <w:widowControl/>
              <w:spacing w:line="360" w:lineRule="exact"/>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投标总报价</w:t>
            </w:r>
            <w:r>
              <w:rPr>
                <w:rFonts w:hint="eastAsia" w:ascii="宋体" w:hAnsi="宋体" w:eastAsia="宋体" w:cs="宋体"/>
                <w:b/>
                <w:color w:val="auto"/>
                <w:highlight w:val="none"/>
                <w:shd w:val="clear" w:color="auto" w:fill="auto"/>
                <w:lang w:val="en-US" w:eastAsia="zh-CN"/>
              </w:rPr>
              <w:t>/一年</w:t>
            </w:r>
            <w:r>
              <w:rPr>
                <w:rFonts w:hint="eastAsia" w:ascii="宋体" w:hAnsi="宋体" w:eastAsia="宋体" w:cs="宋体"/>
                <w:b/>
                <w:color w:val="auto"/>
                <w:highlight w:val="none"/>
                <w:shd w:val="clear" w:color="auto" w:fill="auto"/>
              </w:rPr>
              <w:t>（1+2+3</w:t>
            </w:r>
            <w:r>
              <w:rPr>
                <w:rFonts w:hint="eastAsia" w:ascii="宋体" w:hAnsi="宋体" w:eastAsia="宋体" w:cs="宋体"/>
                <w:b/>
                <w:color w:val="auto"/>
                <w:highlight w:val="none"/>
                <w:shd w:val="clear" w:color="auto" w:fill="auto"/>
                <w:lang w:val="en-US" w:eastAsia="zh-CN"/>
              </w:rPr>
              <w:t>+4+5+6</w:t>
            </w:r>
            <w:r>
              <w:rPr>
                <w:rFonts w:hint="eastAsia" w:ascii="宋体" w:hAnsi="宋体" w:eastAsia="宋体" w:cs="宋体"/>
                <w:b/>
                <w:color w:val="auto"/>
                <w:highlight w:val="none"/>
                <w:shd w:val="clear" w:color="auto" w:fill="auto"/>
              </w:rPr>
              <w:t>）</w:t>
            </w:r>
          </w:p>
        </w:tc>
        <w:tc>
          <w:tcPr>
            <w:tcW w:w="892" w:type="dxa"/>
            <w:noWrap w:val="0"/>
          </w:tcPr>
          <w:p w14:paraId="17766AAF">
            <w:pPr>
              <w:keepNext w:val="0"/>
              <w:keepLines w:val="0"/>
              <w:pageBreakBefore w:val="0"/>
              <w:widowControl/>
              <w:spacing w:line="360" w:lineRule="exact"/>
              <w:jc w:val="center"/>
              <w:rPr>
                <w:rFonts w:hint="eastAsia" w:ascii="宋体" w:hAnsi="宋体" w:eastAsia="宋体" w:cs="宋体"/>
                <w:color w:val="auto"/>
                <w:highlight w:val="none"/>
                <w:shd w:val="clear" w:color="auto" w:fill="auto"/>
              </w:rPr>
            </w:pPr>
          </w:p>
        </w:tc>
        <w:tc>
          <w:tcPr>
            <w:tcW w:w="975" w:type="dxa"/>
            <w:noWrap w:val="0"/>
            <w:vAlign w:val="center"/>
          </w:tcPr>
          <w:p w14:paraId="470B1567">
            <w:pPr>
              <w:keepNext w:val="0"/>
              <w:keepLines w:val="0"/>
              <w:pageBreakBefore w:val="0"/>
              <w:widowControl/>
              <w:spacing w:line="360" w:lineRule="exact"/>
              <w:jc w:val="center"/>
              <w:rPr>
                <w:rFonts w:hint="eastAsia" w:ascii="宋体" w:hAnsi="宋体" w:eastAsia="宋体" w:cs="宋体"/>
                <w:color w:val="auto"/>
                <w:highlight w:val="none"/>
                <w:shd w:val="clear" w:color="auto" w:fill="auto"/>
              </w:rPr>
            </w:pPr>
          </w:p>
        </w:tc>
        <w:tc>
          <w:tcPr>
            <w:tcW w:w="1215" w:type="dxa"/>
            <w:noWrap w:val="0"/>
            <w:vAlign w:val="center"/>
          </w:tcPr>
          <w:p w14:paraId="0CBA7711">
            <w:pPr>
              <w:keepNext w:val="0"/>
              <w:keepLines w:val="0"/>
              <w:pageBreakBefore w:val="0"/>
              <w:widowControl/>
              <w:spacing w:line="360" w:lineRule="exact"/>
              <w:jc w:val="center"/>
              <w:rPr>
                <w:rFonts w:hint="eastAsia" w:ascii="宋体" w:hAnsi="宋体" w:eastAsia="宋体" w:cs="宋体"/>
                <w:b/>
                <w:color w:val="auto"/>
                <w:highlight w:val="none"/>
                <w:shd w:val="clear" w:color="auto" w:fill="auto"/>
              </w:rPr>
            </w:pPr>
          </w:p>
        </w:tc>
        <w:tc>
          <w:tcPr>
            <w:tcW w:w="1260" w:type="dxa"/>
            <w:noWrap w:val="0"/>
            <w:vAlign w:val="center"/>
          </w:tcPr>
          <w:p w14:paraId="6A853A67">
            <w:pPr>
              <w:keepNext w:val="0"/>
              <w:keepLines w:val="0"/>
              <w:pageBreakBefore w:val="0"/>
              <w:widowControl/>
              <w:spacing w:line="360" w:lineRule="exact"/>
              <w:jc w:val="center"/>
              <w:rPr>
                <w:rFonts w:hint="eastAsia" w:ascii="宋体" w:hAnsi="宋体" w:eastAsia="宋体" w:cs="宋体"/>
                <w:color w:val="auto"/>
                <w:highlight w:val="none"/>
                <w:shd w:val="clear" w:color="auto" w:fill="auto"/>
              </w:rPr>
            </w:pPr>
          </w:p>
        </w:tc>
        <w:tc>
          <w:tcPr>
            <w:tcW w:w="2640" w:type="dxa"/>
            <w:noWrap w:val="0"/>
            <w:vAlign w:val="center"/>
          </w:tcPr>
          <w:p w14:paraId="5DB73762">
            <w:pPr>
              <w:keepNext w:val="0"/>
              <w:keepLines w:val="0"/>
              <w:pageBreakBefore w:val="0"/>
              <w:widowControl/>
              <w:spacing w:line="360" w:lineRule="exact"/>
              <w:jc w:val="left"/>
              <w:rPr>
                <w:rFonts w:hint="eastAsia" w:ascii="宋体" w:hAnsi="宋体" w:eastAsia="宋体" w:cs="宋体"/>
                <w:color w:val="auto"/>
                <w:highlight w:val="none"/>
                <w:shd w:val="clear" w:color="auto" w:fill="auto"/>
              </w:rPr>
            </w:pPr>
          </w:p>
        </w:tc>
      </w:tr>
    </w:tbl>
    <w:p w14:paraId="1E7512CF">
      <w:pPr>
        <w:pStyle w:val="32"/>
        <w:spacing w:beforeAutospacing="0" w:afterAutospacing="0"/>
        <w:jc w:val="both"/>
        <w:rPr>
          <w:color w:val="auto"/>
          <w:highlight w:val="none"/>
          <w:shd w:val="clear" w:color="auto" w:fill="auto"/>
        </w:rPr>
      </w:pPr>
      <w:r>
        <w:rPr>
          <w:color w:val="auto"/>
          <w:highlight w:val="none"/>
          <w:shd w:val="clear" w:color="auto" w:fill="auto"/>
        </w:rPr>
        <w:t> </w:t>
      </w:r>
    </w:p>
    <w:p w14:paraId="4753E6EF">
      <w:pPr>
        <w:spacing w:line="360" w:lineRule="auto"/>
        <w:ind w:firstLine="470"/>
        <w:rPr>
          <w:rFonts w:ascii="宋体" w:hAnsi="宋体"/>
          <w:b/>
          <w:color w:val="auto"/>
          <w:sz w:val="24"/>
          <w:highlight w:val="none"/>
          <w:shd w:val="clear" w:color="auto" w:fill="auto"/>
        </w:rPr>
      </w:pPr>
      <w:r>
        <w:rPr>
          <w:rFonts w:hint="eastAsia" w:ascii="宋体" w:hAnsi="宋体"/>
          <w:b/>
          <w:color w:val="auto"/>
          <w:sz w:val="24"/>
          <w:highlight w:val="none"/>
          <w:lang w:val="en-US" w:eastAsia="zh-CN"/>
        </w:rPr>
        <w:t>备注：1、</w:t>
      </w:r>
      <w:r>
        <w:rPr>
          <w:rFonts w:hint="eastAsia" w:ascii="宋体" w:hAnsi="宋体"/>
          <w:b/>
          <w:color w:val="auto"/>
          <w:sz w:val="24"/>
          <w:highlight w:val="none"/>
          <w:shd w:val="clear" w:color="auto" w:fill="auto"/>
          <w:lang w:eastAsia="zh-CN"/>
        </w:rPr>
        <w:t>供应商</w:t>
      </w:r>
      <w:r>
        <w:rPr>
          <w:rFonts w:hint="eastAsia" w:ascii="宋体" w:hAnsi="Arial" w:cs="宋体"/>
          <w:b/>
          <w:bCs/>
          <w:color w:val="auto"/>
          <w:sz w:val="24"/>
          <w:highlight w:val="none"/>
          <w:shd w:val="clear" w:color="auto" w:fill="auto"/>
          <w:lang w:val="zh-CN"/>
        </w:rPr>
        <w:t>所提供人员的费用不得低于上述标准进行测算，</w:t>
      </w:r>
      <w:r>
        <w:rPr>
          <w:rFonts w:hint="eastAsia" w:ascii="宋体" w:hAnsi="宋体"/>
          <w:b/>
          <w:color w:val="auto"/>
          <w:sz w:val="24"/>
          <w:highlight w:val="none"/>
          <w:shd w:val="clear" w:color="auto" w:fill="auto"/>
        </w:rPr>
        <w:t>否则</w:t>
      </w:r>
      <w:r>
        <w:rPr>
          <w:rFonts w:hint="eastAsia" w:ascii="宋体" w:hAnsi="Arial" w:cs="宋体"/>
          <w:b/>
          <w:bCs/>
          <w:color w:val="auto"/>
          <w:sz w:val="24"/>
          <w:highlight w:val="none"/>
          <w:shd w:val="clear" w:color="auto" w:fill="auto"/>
          <w:lang w:val="zh-CN"/>
        </w:rPr>
        <w:t>视为未实质性响应</w:t>
      </w:r>
      <w:r>
        <w:rPr>
          <w:rFonts w:hint="eastAsia" w:ascii="宋体" w:hAnsi="Arial" w:cs="宋体"/>
          <w:b/>
          <w:bCs/>
          <w:color w:val="auto"/>
          <w:sz w:val="24"/>
          <w:highlight w:val="none"/>
          <w:shd w:val="clear" w:color="auto" w:fill="auto"/>
          <w:lang w:val="en-US" w:eastAsia="zh-CN"/>
        </w:rPr>
        <w:t>磋商</w:t>
      </w:r>
      <w:r>
        <w:rPr>
          <w:rFonts w:hint="eastAsia" w:ascii="宋体" w:hAnsi="Arial" w:cs="宋体"/>
          <w:b/>
          <w:bCs/>
          <w:color w:val="auto"/>
          <w:sz w:val="24"/>
          <w:highlight w:val="none"/>
          <w:shd w:val="clear" w:color="auto" w:fill="auto"/>
          <w:lang w:val="zh-CN"/>
        </w:rPr>
        <w:t>文件要求</w:t>
      </w:r>
      <w:r>
        <w:rPr>
          <w:rFonts w:hint="eastAsia" w:ascii="宋体" w:hAnsi="宋体"/>
          <w:b/>
          <w:color w:val="auto"/>
          <w:sz w:val="24"/>
          <w:highlight w:val="none"/>
          <w:shd w:val="clear" w:color="auto" w:fill="auto"/>
        </w:rPr>
        <w:t>。如果</w:t>
      </w:r>
      <w:r>
        <w:rPr>
          <w:rFonts w:hint="eastAsia" w:ascii="宋体" w:hAnsi="宋体"/>
          <w:b/>
          <w:color w:val="auto"/>
          <w:sz w:val="24"/>
          <w:highlight w:val="none"/>
          <w:shd w:val="clear" w:color="auto" w:fill="auto"/>
          <w:lang w:val="en-US" w:eastAsia="zh-CN"/>
        </w:rPr>
        <w:t>磋商</w:t>
      </w:r>
      <w:r>
        <w:rPr>
          <w:rFonts w:hint="eastAsia" w:ascii="宋体" w:hAnsi="宋体"/>
          <w:b/>
          <w:color w:val="auto"/>
          <w:sz w:val="24"/>
          <w:highlight w:val="none"/>
          <w:shd w:val="clear" w:color="auto" w:fill="auto"/>
        </w:rPr>
        <w:t>公告发布之后</w:t>
      </w:r>
      <w:r>
        <w:rPr>
          <w:rFonts w:hint="eastAsia" w:ascii="宋体" w:hAnsi="宋体"/>
          <w:b/>
          <w:color w:val="auto"/>
          <w:sz w:val="24"/>
          <w:highlight w:val="none"/>
          <w:shd w:val="clear" w:color="auto" w:fill="auto"/>
          <w:lang w:val="en-US" w:eastAsia="zh-CN"/>
        </w:rPr>
        <w:t>开标前</w:t>
      </w:r>
      <w:r>
        <w:rPr>
          <w:rFonts w:hint="eastAsia" w:ascii="宋体" w:hAnsi="宋体"/>
          <w:b/>
          <w:color w:val="auto"/>
          <w:sz w:val="24"/>
          <w:highlight w:val="none"/>
          <w:shd w:val="clear" w:color="auto" w:fill="auto"/>
        </w:rPr>
        <w:t>遇政府调整职工最低工资标准或社会保险缴纳基数，</w:t>
      </w:r>
      <w:r>
        <w:rPr>
          <w:rFonts w:hint="eastAsia" w:ascii="宋体" w:hAnsi="宋体"/>
          <w:b/>
          <w:color w:val="auto"/>
          <w:sz w:val="24"/>
          <w:highlight w:val="none"/>
          <w:shd w:val="clear" w:color="auto" w:fill="auto"/>
          <w:lang w:val="en-US" w:eastAsia="zh-CN"/>
        </w:rPr>
        <w:t>磋商小组进行符合性审查时</w:t>
      </w:r>
      <w:r>
        <w:rPr>
          <w:rFonts w:hint="eastAsia" w:ascii="宋体" w:hAnsi="宋体"/>
          <w:b/>
          <w:color w:val="auto"/>
          <w:sz w:val="24"/>
          <w:highlight w:val="none"/>
          <w:shd w:val="clear" w:color="auto" w:fill="auto"/>
        </w:rPr>
        <w:t>可仍按上述标准</w:t>
      </w:r>
      <w:r>
        <w:rPr>
          <w:rFonts w:hint="eastAsia" w:ascii="宋体" w:hAnsi="宋体"/>
          <w:b/>
          <w:color w:val="auto"/>
          <w:sz w:val="24"/>
          <w:highlight w:val="none"/>
          <w:shd w:val="clear" w:color="auto" w:fill="auto"/>
          <w:lang w:val="en-US" w:eastAsia="zh-CN"/>
        </w:rPr>
        <w:t>审查</w:t>
      </w:r>
      <w:r>
        <w:rPr>
          <w:rFonts w:hint="eastAsia" w:ascii="宋体" w:hAnsi="宋体"/>
          <w:b/>
          <w:color w:val="auto"/>
          <w:sz w:val="24"/>
          <w:highlight w:val="none"/>
          <w:shd w:val="clear" w:color="auto" w:fill="auto"/>
        </w:rPr>
        <w:t>，中标后，</w:t>
      </w:r>
      <w:r>
        <w:rPr>
          <w:rFonts w:hint="eastAsia" w:ascii="宋体" w:hAnsi="宋体"/>
          <w:b/>
          <w:color w:val="auto"/>
          <w:sz w:val="24"/>
          <w:highlight w:val="none"/>
          <w:shd w:val="clear" w:color="auto" w:fill="auto"/>
          <w:lang w:val="en-US" w:eastAsia="zh-CN"/>
        </w:rPr>
        <w:t>中标人应按照最新政策文件规定执行</w:t>
      </w:r>
      <w:r>
        <w:rPr>
          <w:rFonts w:hint="eastAsia" w:ascii="宋体" w:hAnsi="宋体"/>
          <w:b/>
          <w:color w:val="auto"/>
          <w:sz w:val="24"/>
          <w:highlight w:val="none"/>
          <w:shd w:val="clear" w:color="auto" w:fill="auto"/>
        </w:rPr>
        <w:t>。</w:t>
      </w:r>
    </w:p>
    <w:p w14:paraId="61B0C052">
      <w:pPr>
        <w:pStyle w:val="32"/>
        <w:numPr>
          <w:ilvl w:val="0"/>
          <w:numId w:val="1"/>
        </w:numPr>
        <w:spacing w:beforeAutospacing="0" w:afterAutospacing="0" w:line="360" w:lineRule="auto"/>
        <w:ind w:left="0" w:leftChars="0" w:firstLine="480" w:firstLineChars="0"/>
        <w:jc w:val="both"/>
        <w:rPr>
          <w:rFonts w:hint="eastAsia" w:ascii="宋体" w:hAnsi="宋体" w:cs="宋体"/>
          <w:b/>
          <w:bCs/>
          <w:color w:val="FF0000"/>
        </w:rPr>
      </w:pPr>
      <w:r>
        <w:rPr>
          <w:rFonts w:hint="eastAsia" w:ascii="宋体" w:hAnsi="宋体" w:cs="宋体"/>
          <w:b/>
          <w:bCs/>
          <w:color w:val="FF0000"/>
        </w:rPr>
        <w:t>“投标分项报价表”中“投标总报价”数额应当与“开标一览表”中“</w:t>
      </w:r>
      <w:bookmarkStart w:id="155" w:name="_Hlk208908629"/>
      <w:r>
        <w:rPr>
          <w:rFonts w:hint="eastAsia" w:ascii="宋体" w:hAnsi="宋体" w:cs="宋体"/>
          <w:b/>
          <w:bCs/>
          <w:color w:val="FF0000"/>
        </w:rPr>
        <w:t>投标总报价</w:t>
      </w:r>
      <w:bookmarkEnd w:id="155"/>
      <w:r>
        <w:rPr>
          <w:rFonts w:hint="eastAsia" w:ascii="宋体" w:hAnsi="宋体" w:cs="宋体"/>
          <w:b/>
          <w:bCs/>
          <w:color w:val="FF0000"/>
        </w:rPr>
        <w:t>”数额一致</w:t>
      </w:r>
      <w:r>
        <w:rPr>
          <w:rFonts w:hint="eastAsia" w:ascii="宋体" w:hAnsi="宋体" w:eastAsia="宋体" w:cs="宋体"/>
          <w:b/>
          <w:bCs/>
          <w:color w:val="FF0000"/>
        </w:rPr>
        <w:t>，如不一致以开标一览表为准（开标一览表中报</w:t>
      </w:r>
      <w:r>
        <w:rPr>
          <w:rFonts w:hint="eastAsia" w:ascii="宋体" w:hAnsi="宋体" w:eastAsia="宋体" w:cs="宋体"/>
          <w:b/>
          <w:bCs/>
          <w:color w:val="FF0000"/>
          <w:lang w:eastAsia="zh-CN"/>
        </w:rPr>
        <w:t>一</w:t>
      </w:r>
      <w:r>
        <w:rPr>
          <w:rFonts w:hint="eastAsia" w:ascii="宋体" w:hAnsi="宋体" w:eastAsia="宋体" w:cs="宋体"/>
          <w:b/>
          <w:bCs/>
          <w:color w:val="FF0000"/>
        </w:rPr>
        <w:t>年费用）</w:t>
      </w:r>
      <w:r>
        <w:rPr>
          <w:rFonts w:hint="eastAsia" w:ascii="宋体" w:hAnsi="宋体" w:cs="宋体"/>
          <w:b/>
          <w:bCs/>
          <w:color w:val="FF0000"/>
        </w:rPr>
        <w:t>。</w:t>
      </w:r>
    </w:p>
    <w:p w14:paraId="5DA4017A">
      <w:pPr>
        <w:pStyle w:val="32"/>
        <w:numPr>
          <w:ilvl w:val="0"/>
          <w:numId w:val="1"/>
        </w:numPr>
        <w:spacing w:beforeAutospacing="0" w:afterAutospacing="0" w:line="360" w:lineRule="auto"/>
        <w:ind w:left="0" w:leftChars="0" w:firstLine="480" w:firstLineChars="0"/>
        <w:jc w:val="both"/>
        <w:rPr>
          <w:rFonts w:hint="eastAsia" w:ascii="宋体" w:hAnsi="宋体" w:cs="宋体"/>
          <w:b/>
          <w:bCs/>
          <w:color w:val="FF0000"/>
        </w:rPr>
      </w:pPr>
      <w:r>
        <w:rPr>
          <w:rFonts w:hint="eastAsia" w:ascii="宋体" w:hAnsi="宋体" w:cs="宋体"/>
          <w:b/>
          <w:bCs/>
          <w:color w:val="FF0000"/>
        </w:rPr>
        <w:t>各项成本费用由投标供应商以元为单位按要求计算填列，小数点后保留两位。</w:t>
      </w:r>
    </w:p>
    <w:p w14:paraId="41AADDBF">
      <w:pPr>
        <w:spacing w:line="360" w:lineRule="auto"/>
        <w:ind w:firstLine="470"/>
        <w:rPr>
          <w:rFonts w:ascii="宋体" w:hAnsi="宋体"/>
          <w:b/>
          <w:color w:val="auto"/>
          <w:sz w:val="24"/>
          <w:highlight w:val="none"/>
          <w:shd w:val="clear" w:color="auto" w:fill="auto"/>
        </w:rPr>
      </w:pPr>
    </w:p>
    <w:p w14:paraId="07663A49">
      <w:pPr>
        <w:pStyle w:val="32"/>
        <w:spacing w:beforeAutospacing="0" w:afterAutospacing="0"/>
        <w:jc w:val="both"/>
        <w:rPr>
          <w:color w:val="FF0000"/>
          <w:highlight w:val="none"/>
          <w:shd w:val="clear" w:color="auto" w:fill="auto"/>
        </w:rPr>
      </w:pPr>
      <w:r>
        <w:rPr>
          <w:color w:val="FF0000"/>
          <w:highlight w:val="none"/>
          <w:shd w:val="clear" w:color="auto" w:fill="auto"/>
        </w:rPr>
        <w:t> </w:t>
      </w:r>
    </w:p>
    <w:p w14:paraId="6F503C09">
      <w:pPr>
        <w:rPr>
          <w:color w:val="FF0000"/>
          <w:highlight w:val="none"/>
          <w:shd w:val="clear" w:color="auto" w:fill="auto"/>
        </w:rPr>
      </w:pPr>
      <w:r>
        <w:rPr>
          <w:color w:val="FF0000"/>
          <w:highlight w:val="none"/>
          <w:shd w:val="clear" w:color="auto" w:fill="auto"/>
        </w:rPr>
        <w:br w:type="page" w:clear="all"/>
      </w:r>
    </w:p>
    <w:p w14:paraId="17787279">
      <w:pPr>
        <w:pStyle w:val="32"/>
        <w:spacing w:beforeAutospacing="0" w:afterAutospacing="0"/>
        <w:jc w:val="center"/>
        <w:rPr>
          <w:rFonts w:hint="eastAsia" w:eastAsia="黑体"/>
          <w:color w:val="auto"/>
          <w:highlight w:val="none"/>
          <w:shd w:val="clear" w:color="auto" w:fill="auto"/>
          <w:lang w:val="en-US" w:eastAsia="zh-CN"/>
        </w:rPr>
      </w:pPr>
      <w:r>
        <w:rPr>
          <w:rFonts w:hint="eastAsia" w:ascii="黑体" w:hAnsi="宋体" w:eastAsia="黑体" w:cs="黑体"/>
          <w:b/>
          <w:color w:val="auto"/>
          <w:sz w:val="32"/>
          <w:szCs w:val="32"/>
          <w:highlight w:val="none"/>
          <w:shd w:val="clear" w:color="auto" w:fill="auto"/>
        </w:rPr>
        <w:t>十</w:t>
      </w:r>
      <w:r>
        <w:rPr>
          <w:rFonts w:hint="eastAsia" w:ascii="黑体" w:hAnsi="宋体" w:eastAsia="黑体" w:cs="黑体"/>
          <w:b/>
          <w:color w:val="auto"/>
          <w:sz w:val="32"/>
          <w:szCs w:val="32"/>
          <w:highlight w:val="none"/>
          <w:shd w:val="clear" w:color="auto" w:fill="auto"/>
          <w:lang w:val="en-US" w:eastAsia="zh-CN"/>
        </w:rPr>
        <w:t>二</w:t>
      </w:r>
      <w:r>
        <w:rPr>
          <w:rFonts w:hint="eastAsia" w:ascii="黑体" w:hAnsi="宋体" w:eastAsia="黑体" w:cs="黑体"/>
          <w:b/>
          <w:color w:val="auto"/>
          <w:sz w:val="32"/>
          <w:szCs w:val="32"/>
          <w:highlight w:val="none"/>
          <w:shd w:val="clear" w:color="auto" w:fill="auto"/>
        </w:rPr>
        <w:t>、技术要求响应及偏离表</w:t>
      </w:r>
    </w:p>
    <w:tbl>
      <w:tblPr>
        <w:tblStyle w:val="35"/>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39B1F667">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0D9C75">
            <w:pPr>
              <w:pStyle w:val="32"/>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5CD525">
            <w:pPr>
              <w:pStyle w:val="32"/>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磋商文件要求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AA3377">
            <w:pPr>
              <w:pStyle w:val="32"/>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C51A71">
            <w:pPr>
              <w:pStyle w:val="32"/>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400317">
            <w:pPr>
              <w:pStyle w:val="32"/>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证明</w:t>
            </w:r>
          </w:p>
          <w:p w14:paraId="2E0F01BF">
            <w:pPr>
              <w:pStyle w:val="32"/>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材料</w:t>
            </w:r>
          </w:p>
        </w:tc>
      </w:tr>
      <w:tr w14:paraId="32AB8AD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0E18E2">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B25074">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7D404F">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34852B">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693297">
            <w:pPr>
              <w:pStyle w:val="32"/>
              <w:spacing w:beforeAutospacing="0" w:afterAutospacing="0"/>
              <w:jc w:val="center"/>
              <w:rPr>
                <w:color w:val="auto"/>
                <w:highlight w:val="none"/>
                <w:shd w:val="clear" w:color="auto" w:fill="auto"/>
              </w:rPr>
            </w:pPr>
            <w:r>
              <w:rPr>
                <w:color w:val="auto"/>
                <w:highlight w:val="none"/>
                <w:shd w:val="clear" w:color="auto" w:fill="auto"/>
              </w:rPr>
              <w:t> </w:t>
            </w:r>
          </w:p>
        </w:tc>
      </w:tr>
      <w:tr w14:paraId="28DF355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5ACF7B">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68888E">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23AC9C">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6FFF58">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B5F40E">
            <w:pPr>
              <w:pStyle w:val="32"/>
              <w:spacing w:beforeAutospacing="0" w:afterAutospacing="0"/>
              <w:jc w:val="center"/>
              <w:rPr>
                <w:color w:val="auto"/>
                <w:highlight w:val="none"/>
                <w:shd w:val="clear" w:color="auto" w:fill="auto"/>
              </w:rPr>
            </w:pPr>
            <w:r>
              <w:rPr>
                <w:color w:val="auto"/>
                <w:highlight w:val="none"/>
                <w:shd w:val="clear" w:color="auto" w:fill="auto"/>
              </w:rPr>
              <w:t> </w:t>
            </w:r>
          </w:p>
        </w:tc>
      </w:tr>
      <w:tr w14:paraId="13CF179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803ED5">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429FAB">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530571">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98B2BC">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43B13F">
            <w:pPr>
              <w:pStyle w:val="32"/>
              <w:spacing w:beforeAutospacing="0" w:afterAutospacing="0"/>
              <w:jc w:val="center"/>
              <w:rPr>
                <w:color w:val="auto"/>
                <w:highlight w:val="none"/>
                <w:shd w:val="clear" w:color="auto" w:fill="auto"/>
              </w:rPr>
            </w:pPr>
            <w:r>
              <w:rPr>
                <w:color w:val="auto"/>
                <w:highlight w:val="none"/>
                <w:shd w:val="clear" w:color="auto" w:fill="auto"/>
              </w:rPr>
              <w:t> </w:t>
            </w:r>
          </w:p>
        </w:tc>
      </w:tr>
      <w:tr w14:paraId="70562B6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6A86A8">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750963">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9E08EB">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EF0FA4">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DB5BC4">
            <w:pPr>
              <w:pStyle w:val="32"/>
              <w:spacing w:beforeAutospacing="0" w:afterAutospacing="0"/>
              <w:jc w:val="center"/>
              <w:rPr>
                <w:color w:val="auto"/>
                <w:highlight w:val="none"/>
                <w:shd w:val="clear" w:color="auto" w:fill="auto"/>
              </w:rPr>
            </w:pPr>
            <w:r>
              <w:rPr>
                <w:color w:val="auto"/>
                <w:highlight w:val="none"/>
                <w:shd w:val="clear" w:color="auto" w:fill="auto"/>
              </w:rPr>
              <w:t> </w:t>
            </w:r>
          </w:p>
        </w:tc>
      </w:tr>
      <w:tr w14:paraId="47DE04A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6C9B1C">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F38011">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65292D">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CCF0BB">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B59FB7">
            <w:pPr>
              <w:pStyle w:val="32"/>
              <w:spacing w:beforeAutospacing="0" w:afterAutospacing="0"/>
              <w:jc w:val="center"/>
              <w:rPr>
                <w:color w:val="auto"/>
                <w:highlight w:val="none"/>
                <w:shd w:val="clear" w:color="auto" w:fill="auto"/>
              </w:rPr>
            </w:pPr>
            <w:r>
              <w:rPr>
                <w:color w:val="auto"/>
                <w:highlight w:val="none"/>
                <w:shd w:val="clear" w:color="auto" w:fill="auto"/>
              </w:rPr>
              <w:t> </w:t>
            </w:r>
          </w:p>
        </w:tc>
      </w:tr>
      <w:tr w14:paraId="695CA5B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A9CD15">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CDBA84">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413811">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822504">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B2AFCF">
            <w:pPr>
              <w:pStyle w:val="32"/>
              <w:spacing w:beforeAutospacing="0" w:afterAutospacing="0"/>
              <w:jc w:val="center"/>
              <w:rPr>
                <w:color w:val="auto"/>
                <w:highlight w:val="none"/>
                <w:shd w:val="clear" w:color="auto" w:fill="auto"/>
              </w:rPr>
            </w:pPr>
            <w:r>
              <w:rPr>
                <w:color w:val="auto"/>
                <w:highlight w:val="none"/>
                <w:shd w:val="clear" w:color="auto" w:fill="auto"/>
              </w:rPr>
              <w:t> </w:t>
            </w:r>
          </w:p>
        </w:tc>
      </w:tr>
      <w:tr w14:paraId="62813C4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CCFF8F">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66ECBC">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BBB021">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4EF9C5">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878682">
            <w:pPr>
              <w:pStyle w:val="32"/>
              <w:spacing w:beforeAutospacing="0" w:afterAutospacing="0"/>
              <w:jc w:val="center"/>
              <w:rPr>
                <w:color w:val="auto"/>
                <w:highlight w:val="none"/>
                <w:shd w:val="clear" w:color="auto" w:fill="auto"/>
              </w:rPr>
            </w:pPr>
            <w:r>
              <w:rPr>
                <w:color w:val="auto"/>
                <w:highlight w:val="none"/>
                <w:shd w:val="clear" w:color="auto" w:fill="auto"/>
              </w:rPr>
              <w:t> </w:t>
            </w:r>
          </w:p>
        </w:tc>
      </w:tr>
      <w:tr w14:paraId="114DB1A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770298">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44D516">
            <w:pPr>
              <w:pStyle w:val="32"/>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791129">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D75C9E">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5A8A20">
            <w:pPr>
              <w:pStyle w:val="32"/>
              <w:spacing w:beforeAutospacing="0" w:afterAutospacing="0"/>
              <w:jc w:val="center"/>
              <w:rPr>
                <w:color w:val="auto"/>
                <w:highlight w:val="none"/>
                <w:shd w:val="clear" w:color="auto" w:fill="auto"/>
              </w:rPr>
            </w:pPr>
            <w:r>
              <w:rPr>
                <w:color w:val="auto"/>
                <w:highlight w:val="none"/>
                <w:shd w:val="clear" w:color="auto" w:fill="auto"/>
              </w:rPr>
              <w:t> </w:t>
            </w:r>
          </w:p>
        </w:tc>
      </w:tr>
    </w:tbl>
    <w:p w14:paraId="61572634">
      <w:pPr>
        <w:pStyle w:val="32"/>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注： 行数不够，可自行添加。</w:t>
      </w:r>
    </w:p>
    <w:p w14:paraId="692EB3C8">
      <w:pPr>
        <w:pStyle w:val="32"/>
        <w:spacing w:beforeAutospacing="0" w:afterAutospacing="0"/>
        <w:jc w:val="center"/>
        <w:rPr>
          <w:color w:val="auto"/>
          <w:highlight w:val="none"/>
          <w:shd w:val="clear" w:color="auto" w:fill="auto"/>
        </w:rPr>
      </w:pPr>
      <w:r>
        <w:rPr>
          <w:color w:val="auto"/>
          <w:highlight w:val="none"/>
          <w:shd w:val="clear" w:color="auto" w:fill="auto"/>
        </w:rPr>
        <w:t> </w:t>
      </w:r>
    </w:p>
    <w:p w14:paraId="5803EF26">
      <w:pPr>
        <w:pStyle w:val="32"/>
        <w:spacing w:beforeAutospacing="0" w:afterAutospacing="0"/>
        <w:jc w:val="center"/>
        <w:rPr>
          <w:color w:val="auto"/>
          <w:highlight w:val="none"/>
          <w:shd w:val="clear" w:color="auto" w:fill="auto"/>
        </w:rPr>
      </w:pPr>
      <w:r>
        <w:rPr>
          <w:color w:val="auto"/>
          <w:highlight w:val="none"/>
          <w:shd w:val="clear" w:color="auto" w:fill="auto"/>
        </w:rPr>
        <w:t> </w:t>
      </w:r>
    </w:p>
    <w:p w14:paraId="61E6B222">
      <w:pPr>
        <w:pStyle w:val="32"/>
        <w:spacing w:beforeAutospacing="0" w:afterAutospacing="0"/>
        <w:jc w:val="center"/>
        <w:rPr>
          <w:color w:val="auto"/>
          <w:highlight w:val="none"/>
          <w:shd w:val="clear" w:color="auto" w:fill="auto"/>
        </w:rPr>
      </w:pPr>
      <w:r>
        <w:rPr>
          <w:color w:val="auto"/>
          <w:highlight w:val="none"/>
          <w:shd w:val="clear" w:color="auto" w:fill="auto"/>
        </w:rPr>
        <w:t> </w:t>
      </w:r>
    </w:p>
    <w:p w14:paraId="1C09A7FD">
      <w:pPr>
        <w:pStyle w:val="32"/>
        <w:spacing w:beforeAutospacing="0" w:afterAutospacing="0"/>
        <w:jc w:val="center"/>
        <w:rPr>
          <w:color w:val="auto"/>
          <w:highlight w:val="none"/>
          <w:shd w:val="clear" w:color="auto" w:fill="auto"/>
        </w:rPr>
      </w:pPr>
      <w:r>
        <w:rPr>
          <w:color w:val="auto"/>
          <w:highlight w:val="none"/>
          <w:shd w:val="clear" w:color="auto" w:fill="auto"/>
        </w:rPr>
        <w:t> </w:t>
      </w:r>
    </w:p>
    <w:p w14:paraId="7362EB77">
      <w:pPr>
        <w:pStyle w:val="32"/>
        <w:spacing w:beforeAutospacing="0" w:afterAutospacing="0"/>
        <w:jc w:val="both"/>
        <w:rPr>
          <w:color w:val="auto"/>
          <w:highlight w:val="none"/>
          <w:shd w:val="clear" w:color="auto" w:fill="auto"/>
        </w:rPr>
      </w:pPr>
      <w:r>
        <w:rPr>
          <w:color w:val="auto"/>
          <w:highlight w:val="none"/>
          <w:shd w:val="clear" w:color="auto" w:fill="auto"/>
        </w:rPr>
        <w:t> </w:t>
      </w:r>
    </w:p>
    <w:p w14:paraId="018381B1">
      <w:pPr>
        <w:pStyle w:val="32"/>
        <w:spacing w:beforeAutospacing="0" w:afterAutospacing="0"/>
        <w:jc w:val="both"/>
        <w:rPr>
          <w:color w:val="auto"/>
          <w:highlight w:val="none"/>
          <w:shd w:val="clear" w:color="auto" w:fill="auto"/>
        </w:rPr>
      </w:pPr>
      <w:r>
        <w:rPr>
          <w:color w:val="auto"/>
          <w:highlight w:val="none"/>
          <w:shd w:val="clear" w:color="auto" w:fill="auto"/>
        </w:rPr>
        <w:t> </w:t>
      </w:r>
    </w:p>
    <w:p w14:paraId="72AFF2F0">
      <w:pPr>
        <w:pStyle w:val="32"/>
        <w:spacing w:beforeAutospacing="0" w:afterAutospacing="0"/>
        <w:jc w:val="both"/>
        <w:rPr>
          <w:color w:val="auto"/>
          <w:highlight w:val="none"/>
          <w:shd w:val="clear" w:color="auto" w:fill="auto"/>
        </w:rPr>
      </w:pPr>
      <w:r>
        <w:rPr>
          <w:color w:val="auto"/>
          <w:highlight w:val="none"/>
          <w:shd w:val="clear" w:color="auto" w:fill="auto"/>
        </w:rPr>
        <w:t> </w:t>
      </w:r>
    </w:p>
    <w:p w14:paraId="03E0ACA6">
      <w:pPr>
        <w:pStyle w:val="32"/>
        <w:spacing w:beforeAutospacing="0" w:afterAutospacing="0"/>
        <w:jc w:val="both"/>
        <w:rPr>
          <w:color w:val="auto"/>
          <w:highlight w:val="none"/>
          <w:shd w:val="clear" w:color="auto" w:fill="auto"/>
        </w:rPr>
      </w:pPr>
      <w:r>
        <w:rPr>
          <w:color w:val="auto"/>
          <w:highlight w:val="none"/>
          <w:shd w:val="clear" w:color="auto" w:fill="auto"/>
        </w:rPr>
        <w:t> </w:t>
      </w:r>
    </w:p>
    <w:p w14:paraId="10B67331">
      <w:pPr>
        <w:pStyle w:val="32"/>
        <w:spacing w:beforeAutospacing="0" w:afterAutospacing="0"/>
        <w:jc w:val="both"/>
        <w:rPr>
          <w:color w:val="auto"/>
          <w:highlight w:val="none"/>
          <w:shd w:val="clear" w:color="auto" w:fill="auto"/>
        </w:rPr>
      </w:pPr>
      <w:r>
        <w:rPr>
          <w:color w:val="auto"/>
          <w:highlight w:val="none"/>
          <w:shd w:val="clear" w:color="auto" w:fill="auto"/>
        </w:rPr>
        <w:t> </w:t>
      </w:r>
    </w:p>
    <w:p w14:paraId="5A88FB07">
      <w:pPr>
        <w:pStyle w:val="32"/>
        <w:spacing w:beforeAutospacing="0" w:afterAutospacing="0"/>
        <w:jc w:val="both"/>
        <w:rPr>
          <w:color w:val="auto"/>
          <w:highlight w:val="none"/>
          <w:shd w:val="clear" w:color="auto" w:fill="auto"/>
        </w:rPr>
      </w:pPr>
      <w:r>
        <w:rPr>
          <w:color w:val="auto"/>
          <w:highlight w:val="none"/>
          <w:shd w:val="clear" w:color="auto" w:fill="auto"/>
        </w:rPr>
        <w:t> </w:t>
      </w:r>
    </w:p>
    <w:p w14:paraId="34CABBBC">
      <w:pPr>
        <w:pStyle w:val="32"/>
        <w:spacing w:beforeAutospacing="0" w:afterAutospacing="0"/>
        <w:jc w:val="both"/>
        <w:rPr>
          <w:color w:val="auto"/>
          <w:highlight w:val="none"/>
          <w:shd w:val="clear" w:color="auto" w:fill="auto"/>
        </w:rPr>
      </w:pPr>
      <w:r>
        <w:rPr>
          <w:color w:val="auto"/>
          <w:highlight w:val="none"/>
          <w:shd w:val="clear" w:color="auto" w:fill="auto"/>
        </w:rPr>
        <w:t> </w:t>
      </w:r>
    </w:p>
    <w:p w14:paraId="322040E0">
      <w:pPr>
        <w:pStyle w:val="32"/>
        <w:spacing w:beforeAutospacing="0" w:afterAutospacing="0"/>
        <w:jc w:val="both"/>
        <w:rPr>
          <w:color w:val="auto"/>
          <w:highlight w:val="none"/>
          <w:shd w:val="clear" w:color="auto" w:fill="auto"/>
        </w:rPr>
      </w:pPr>
      <w:r>
        <w:rPr>
          <w:color w:val="auto"/>
          <w:highlight w:val="none"/>
          <w:shd w:val="clear" w:color="auto" w:fill="auto"/>
        </w:rPr>
        <w:t> </w:t>
      </w:r>
    </w:p>
    <w:p w14:paraId="51E793C0">
      <w:pPr>
        <w:rPr>
          <w:rFonts w:ascii="黑体" w:hAnsi="宋体" w:eastAsia="黑体" w:cs="黑体"/>
          <w:b/>
          <w:color w:val="auto"/>
          <w:sz w:val="32"/>
          <w:szCs w:val="32"/>
          <w:highlight w:val="none"/>
          <w:shd w:val="clear" w:color="auto" w:fill="auto"/>
        </w:rPr>
      </w:pPr>
      <w:bookmarkStart w:id="156" w:name="_Hlt26955054"/>
      <w:r>
        <w:rPr>
          <w:rFonts w:hint="eastAsia" w:ascii="黑体" w:hAnsi="宋体" w:eastAsia="黑体" w:cs="黑体"/>
          <w:b/>
          <w:color w:val="auto"/>
          <w:sz w:val="32"/>
          <w:szCs w:val="32"/>
          <w:highlight w:val="none"/>
          <w:shd w:val="clear" w:color="auto" w:fill="auto"/>
        </w:rPr>
        <w:br w:type="page" w:clear="all"/>
      </w:r>
    </w:p>
    <w:p w14:paraId="006CF3E0">
      <w:pPr>
        <w:pStyle w:val="32"/>
        <w:spacing w:beforeAutospacing="0" w:afterAutospacing="0"/>
        <w:jc w:val="center"/>
        <w:rPr>
          <w:color w:val="auto"/>
          <w:highlight w:val="none"/>
          <w:shd w:val="clear" w:color="auto" w:fill="auto"/>
        </w:rPr>
      </w:pPr>
      <w:r>
        <w:rPr>
          <w:rFonts w:hint="eastAsia" w:ascii="黑体" w:hAnsi="宋体" w:eastAsia="黑体" w:cs="黑体"/>
          <w:b/>
          <w:color w:val="auto"/>
          <w:sz w:val="32"/>
          <w:szCs w:val="32"/>
          <w:highlight w:val="none"/>
          <w:shd w:val="clear" w:color="auto" w:fill="auto"/>
        </w:rPr>
        <w:t>十</w:t>
      </w:r>
      <w:r>
        <w:rPr>
          <w:rFonts w:hint="eastAsia" w:ascii="黑体" w:hAnsi="宋体" w:eastAsia="黑体" w:cs="黑体"/>
          <w:b/>
          <w:color w:val="auto"/>
          <w:sz w:val="32"/>
          <w:szCs w:val="32"/>
          <w:highlight w:val="none"/>
          <w:shd w:val="clear" w:color="auto" w:fill="auto"/>
          <w:lang w:val="en-US" w:eastAsia="zh-CN"/>
        </w:rPr>
        <w:t>三</w:t>
      </w:r>
      <w:r>
        <w:rPr>
          <w:rFonts w:hint="eastAsia" w:ascii="黑体" w:hAnsi="宋体" w:eastAsia="黑体" w:cs="黑体"/>
          <w:b/>
          <w:color w:val="auto"/>
          <w:sz w:val="32"/>
          <w:szCs w:val="32"/>
          <w:highlight w:val="none"/>
          <w:shd w:val="clear" w:color="auto" w:fill="auto"/>
        </w:rPr>
        <w:t>、商务要求响应及偏离表（分包号：**）</w:t>
      </w:r>
    </w:p>
    <w:tbl>
      <w:tblPr>
        <w:tblStyle w:val="35"/>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08229F43">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A20584">
            <w:pPr>
              <w:pStyle w:val="32"/>
              <w:spacing w:beforeAutospacing="0" w:afterAutospacing="0"/>
              <w:jc w:val="center"/>
              <w:rPr>
                <w:color w:val="auto"/>
                <w:highlight w:val="none"/>
                <w:shd w:val="clear" w:color="auto" w:fill="auto"/>
              </w:rPr>
            </w:pPr>
            <w:bookmarkStart w:id="157" w:name="_Hlt26782999"/>
            <w:bookmarkStart w:id="158" w:name="_Hlt26955056"/>
            <w:bookmarkStart w:id="159" w:name="_Hlt26609391"/>
            <w:bookmarkStart w:id="160" w:name="_Hlt24879081"/>
            <w:bookmarkStart w:id="161" w:name="_Hlt26955064"/>
            <w:bookmarkStart w:id="162" w:name="_Hlt26580838"/>
            <w:bookmarkStart w:id="163" w:name="_Hlt26671343"/>
            <w:bookmarkStart w:id="164" w:name="_Hlt26671372"/>
            <w:r>
              <w:rPr>
                <w:rFonts w:hint="eastAsia" w:ascii="宋体" w:hAnsi="宋体" w:eastAsia="宋体" w:cs="宋体"/>
                <w:color w:val="auto"/>
                <w:highlight w:val="none"/>
                <w:shd w:val="clear" w:color="auto" w:fill="auto"/>
              </w:rPr>
              <w:t>序号</w:t>
            </w:r>
            <w:bookmarkEnd w:id="157"/>
            <w:bookmarkEnd w:id="158"/>
            <w:bookmarkEnd w:id="159"/>
            <w:bookmarkEnd w:id="160"/>
            <w:bookmarkEnd w:id="161"/>
            <w:bookmarkEnd w:id="162"/>
            <w:bookmarkEnd w:id="163"/>
            <w:bookmarkEnd w:id="164"/>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36561B">
            <w:pPr>
              <w:pStyle w:val="32"/>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磋商文件要求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4122BB">
            <w:pPr>
              <w:pStyle w:val="32"/>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884877">
            <w:pPr>
              <w:pStyle w:val="32"/>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FCD995">
            <w:pPr>
              <w:pStyle w:val="32"/>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证明</w:t>
            </w:r>
          </w:p>
          <w:p w14:paraId="5F926CEB">
            <w:pPr>
              <w:pStyle w:val="32"/>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材料</w:t>
            </w:r>
          </w:p>
        </w:tc>
      </w:tr>
      <w:tr w14:paraId="4F657AB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ED5681">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85C7AB">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7BF4DE">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9D5C64">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D90D87">
            <w:pPr>
              <w:pStyle w:val="32"/>
              <w:spacing w:beforeAutospacing="0" w:afterAutospacing="0"/>
              <w:jc w:val="center"/>
              <w:rPr>
                <w:color w:val="auto"/>
                <w:highlight w:val="none"/>
                <w:shd w:val="clear" w:color="auto" w:fill="auto"/>
              </w:rPr>
            </w:pPr>
            <w:r>
              <w:rPr>
                <w:color w:val="auto"/>
                <w:highlight w:val="none"/>
                <w:shd w:val="clear" w:color="auto" w:fill="auto"/>
              </w:rPr>
              <w:t> </w:t>
            </w:r>
          </w:p>
        </w:tc>
      </w:tr>
      <w:tr w14:paraId="46CE37A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B5E688">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78D2E8">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FDA123">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232494">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E1893C">
            <w:pPr>
              <w:pStyle w:val="32"/>
              <w:spacing w:beforeAutospacing="0" w:afterAutospacing="0"/>
              <w:jc w:val="center"/>
              <w:rPr>
                <w:color w:val="auto"/>
                <w:highlight w:val="none"/>
                <w:shd w:val="clear" w:color="auto" w:fill="auto"/>
              </w:rPr>
            </w:pPr>
            <w:r>
              <w:rPr>
                <w:color w:val="auto"/>
                <w:highlight w:val="none"/>
                <w:shd w:val="clear" w:color="auto" w:fill="auto"/>
              </w:rPr>
              <w:t> </w:t>
            </w:r>
          </w:p>
        </w:tc>
      </w:tr>
      <w:tr w14:paraId="269102C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DD7086">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5F8970">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7BF098">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ADDC00">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F07C92">
            <w:pPr>
              <w:pStyle w:val="32"/>
              <w:spacing w:beforeAutospacing="0" w:afterAutospacing="0"/>
              <w:jc w:val="center"/>
              <w:rPr>
                <w:color w:val="auto"/>
                <w:highlight w:val="none"/>
                <w:shd w:val="clear" w:color="auto" w:fill="auto"/>
              </w:rPr>
            </w:pPr>
            <w:r>
              <w:rPr>
                <w:color w:val="auto"/>
                <w:highlight w:val="none"/>
                <w:shd w:val="clear" w:color="auto" w:fill="auto"/>
              </w:rPr>
              <w:t> </w:t>
            </w:r>
          </w:p>
        </w:tc>
      </w:tr>
      <w:tr w14:paraId="43CB342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12BC79">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670D49">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1559EA">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334C27">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FA911D">
            <w:pPr>
              <w:pStyle w:val="32"/>
              <w:spacing w:beforeAutospacing="0" w:afterAutospacing="0"/>
              <w:jc w:val="center"/>
              <w:rPr>
                <w:color w:val="auto"/>
                <w:highlight w:val="none"/>
                <w:shd w:val="clear" w:color="auto" w:fill="auto"/>
              </w:rPr>
            </w:pPr>
            <w:r>
              <w:rPr>
                <w:color w:val="auto"/>
                <w:highlight w:val="none"/>
                <w:shd w:val="clear" w:color="auto" w:fill="auto"/>
              </w:rPr>
              <w:t> </w:t>
            </w:r>
          </w:p>
        </w:tc>
      </w:tr>
      <w:tr w14:paraId="5EE1E28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6ECCBF">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08BF56">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E3AA80">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987EE4">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05D8AA">
            <w:pPr>
              <w:pStyle w:val="32"/>
              <w:spacing w:beforeAutospacing="0" w:afterAutospacing="0"/>
              <w:jc w:val="center"/>
              <w:rPr>
                <w:color w:val="auto"/>
                <w:highlight w:val="none"/>
                <w:shd w:val="clear" w:color="auto" w:fill="auto"/>
              </w:rPr>
            </w:pPr>
            <w:r>
              <w:rPr>
                <w:color w:val="auto"/>
                <w:highlight w:val="none"/>
                <w:shd w:val="clear" w:color="auto" w:fill="auto"/>
              </w:rPr>
              <w:t> </w:t>
            </w:r>
          </w:p>
        </w:tc>
      </w:tr>
      <w:tr w14:paraId="01F6DDE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F669D4">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1F165E">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6CE914">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68EFB0">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270DDF">
            <w:pPr>
              <w:pStyle w:val="32"/>
              <w:spacing w:beforeAutospacing="0" w:afterAutospacing="0"/>
              <w:jc w:val="center"/>
              <w:rPr>
                <w:color w:val="auto"/>
                <w:highlight w:val="none"/>
                <w:shd w:val="clear" w:color="auto" w:fill="auto"/>
              </w:rPr>
            </w:pPr>
            <w:r>
              <w:rPr>
                <w:color w:val="auto"/>
                <w:highlight w:val="none"/>
                <w:shd w:val="clear" w:color="auto" w:fill="auto"/>
              </w:rPr>
              <w:t> </w:t>
            </w:r>
          </w:p>
        </w:tc>
      </w:tr>
      <w:tr w14:paraId="05E4BDD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EEF4DC">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D95AF0">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0553E2">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FE7FFA">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E379AE">
            <w:pPr>
              <w:pStyle w:val="32"/>
              <w:spacing w:beforeAutospacing="0" w:afterAutospacing="0"/>
              <w:jc w:val="center"/>
              <w:rPr>
                <w:color w:val="auto"/>
                <w:highlight w:val="none"/>
                <w:shd w:val="clear" w:color="auto" w:fill="auto"/>
              </w:rPr>
            </w:pPr>
            <w:r>
              <w:rPr>
                <w:color w:val="auto"/>
                <w:highlight w:val="none"/>
                <w:shd w:val="clear" w:color="auto" w:fill="auto"/>
              </w:rPr>
              <w:t> </w:t>
            </w:r>
          </w:p>
        </w:tc>
      </w:tr>
      <w:tr w14:paraId="3FF0446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DCA017">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FAA901">
            <w:pPr>
              <w:pStyle w:val="32"/>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F1521D">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759673">
            <w:pPr>
              <w:pStyle w:val="32"/>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4EBA23">
            <w:pPr>
              <w:pStyle w:val="32"/>
              <w:spacing w:beforeAutospacing="0" w:afterAutospacing="0"/>
              <w:jc w:val="center"/>
              <w:rPr>
                <w:color w:val="auto"/>
                <w:highlight w:val="none"/>
                <w:shd w:val="clear" w:color="auto" w:fill="auto"/>
              </w:rPr>
            </w:pPr>
            <w:r>
              <w:rPr>
                <w:color w:val="auto"/>
                <w:highlight w:val="none"/>
                <w:shd w:val="clear" w:color="auto" w:fill="auto"/>
              </w:rPr>
              <w:t> </w:t>
            </w:r>
          </w:p>
        </w:tc>
      </w:tr>
    </w:tbl>
    <w:p w14:paraId="58585B39">
      <w:pPr>
        <w:pStyle w:val="32"/>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注： 行数不够，可自行添加。</w:t>
      </w:r>
    </w:p>
    <w:p w14:paraId="0BF51001">
      <w:pPr>
        <w:pStyle w:val="32"/>
        <w:spacing w:beforeAutospacing="0" w:afterAutospacing="0" w:line="480" w:lineRule="auto"/>
        <w:jc w:val="both"/>
        <w:rPr>
          <w:color w:val="auto"/>
          <w:highlight w:val="none"/>
          <w:shd w:val="clear" w:color="auto" w:fill="auto"/>
        </w:rPr>
      </w:pPr>
      <w:r>
        <w:rPr>
          <w:color w:val="auto"/>
          <w:highlight w:val="none"/>
          <w:shd w:val="clear" w:color="auto" w:fill="auto"/>
        </w:rPr>
        <w:t> </w:t>
      </w:r>
    </w:p>
    <w:p w14:paraId="7E3D29DA">
      <w:pPr>
        <w:pStyle w:val="32"/>
        <w:spacing w:beforeAutospacing="0" w:afterAutospacing="0" w:line="480" w:lineRule="auto"/>
        <w:jc w:val="both"/>
        <w:rPr>
          <w:color w:val="auto"/>
          <w:highlight w:val="none"/>
          <w:shd w:val="clear" w:color="auto" w:fill="auto"/>
        </w:rPr>
      </w:pPr>
      <w:r>
        <w:rPr>
          <w:color w:val="auto"/>
          <w:highlight w:val="none"/>
          <w:shd w:val="clear" w:color="auto" w:fill="auto"/>
        </w:rPr>
        <w:t> </w:t>
      </w:r>
    </w:p>
    <w:p w14:paraId="0D7F752A">
      <w:pPr>
        <w:pStyle w:val="32"/>
        <w:spacing w:beforeAutospacing="0" w:afterAutospacing="0"/>
        <w:jc w:val="center"/>
        <w:rPr>
          <w:color w:val="auto"/>
          <w:highlight w:val="none"/>
          <w:shd w:val="clear" w:color="auto" w:fill="auto"/>
        </w:rPr>
      </w:pPr>
      <w:bookmarkStart w:id="165" w:name="_Hlt26671374"/>
      <w:bookmarkStart w:id="166" w:name="_格式2__法定代表人授权书"/>
      <w:bookmarkStart w:id="167" w:name="_Toc462564146"/>
      <w:bookmarkStart w:id="168" w:name="_Hlt26609389"/>
      <w:bookmarkStart w:id="169" w:name="_Hlt26955066"/>
      <w:r>
        <w:rPr>
          <w:color w:val="auto"/>
          <w:highlight w:val="none"/>
          <w:shd w:val="clear" w:color="auto" w:fill="auto"/>
        </w:rPr>
        <w:t> </w:t>
      </w:r>
    </w:p>
    <w:p w14:paraId="69CC1072">
      <w:pPr>
        <w:pStyle w:val="32"/>
        <w:spacing w:beforeAutospacing="0" w:afterAutospacing="0"/>
        <w:jc w:val="center"/>
        <w:rPr>
          <w:color w:val="auto"/>
          <w:highlight w:val="none"/>
          <w:shd w:val="clear" w:color="auto" w:fill="auto"/>
        </w:rPr>
      </w:pPr>
      <w:r>
        <w:rPr>
          <w:color w:val="auto"/>
          <w:highlight w:val="none"/>
          <w:shd w:val="clear" w:color="auto" w:fill="auto"/>
        </w:rPr>
        <w:t> </w:t>
      </w:r>
    </w:p>
    <w:p w14:paraId="3E9021CA">
      <w:pPr>
        <w:pStyle w:val="32"/>
        <w:spacing w:beforeAutospacing="0" w:afterAutospacing="0"/>
        <w:jc w:val="center"/>
        <w:rPr>
          <w:color w:val="auto"/>
          <w:highlight w:val="none"/>
          <w:shd w:val="clear" w:color="auto" w:fill="auto"/>
        </w:rPr>
      </w:pPr>
    </w:p>
    <w:p w14:paraId="5212014E">
      <w:pPr>
        <w:pStyle w:val="32"/>
        <w:spacing w:beforeAutospacing="0" w:afterAutospacing="0"/>
        <w:jc w:val="center"/>
        <w:rPr>
          <w:color w:val="auto"/>
          <w:highlight w:val="none"/>
          <w:shd w:val="clear" w:color="auto" w:fill="auto"/>
        </w:rPr>
      </w:pPr>
    </w:p>
    <w:p w14:paraId="6339BC07">
      <w:pPr>
        <w:pStyle w:val="32"/>
        <w:spacing w:beforeAutospacing="0" w:afterAutospacing="0"/>
        <w:jc w:val="center"/>
        <w:rPr>
          <w:color w:val="auto"/>
          <w:highlight w:val="none"/>
          <w:shd w:val="clear" w:color="auto" w:fill="auto"/>
        </w:rPr>
      </w:pPr>
    </w:p>
    <w:p w14:paraId="1B032062">
      <w:pPr>
        <w:pStyle w:val="32"/>
        <w:spacing w:beforeAutospacing="0" w:afterAutospacing="0"/>
        <w:jc w:val="center"/>
        <w:rPr>
          <w:color w:val="auto"/>
          <w:highlight w:val="none"/>
          <w:shd w:val="clear" w:color="auto" w:fill="auto"/>
        </w:rPr>
      </w:pPr>
    </w:p>
    <w:p w14:paraId="24DD48D4">
      <w:pPr>
        <w:pStyle w:val="32"/>
        <w:spacing w:beforeAutospacing="0" w:afterAutospacing="0"/>
        <w:jc w:val="center"/>
        <w:rPr>
          <w:color w:val="auto"/>
          <w:highlight w:val="none"/>
          <w:shd w:val="clear" w:color="auto" w:fill="auto"/>
        </w:rPr>
      </w:pPr>
      <w:r>
        <w:rPr>
          <w:color w:val="auto"/>
          <w:highlight w:val="none"/>
          <w:shd w:val="clear" w:color="auto" w:fill="auto"/>
        </w:rPr>
        <w:t> </w:t>
      </w:r>
    </w:p>
    <w:p w14:paraId="67C751F1">
      <w:pPr>
        <w:pStyle w:val="32"/>
        <w:spacing w:beforeAutospacing="0" w:afterAutospacing="0"/>
        <w:jc w:val="center"/>
        <w:rPr>
          <w:color w:val="auto"/>
          <w:highlight w:val="none"/>
          <w:shd w:val="clear" w:color="auto" w:fill="auto"/>
        </w:rPr>
      </w:pPr>
      <w:r>
        <w:rPr>
          <w:color w:val="auto"/>
          <w:highlight w:val="none"/>
          <w:shd w:val="clear" w:color="auto" w:fill="auto"/>
        </w:rPr>
        <w:t> </w:t>
      </w:r>
    </w:p>
    <w:p w14:paraId="7EB78252">
      <w:pPr>
        <w:pStyle w:val="32"/>
        <w:spacing w:beforeAutospacing="0" w:afterAutospacing="0"/>
        <w:jc w:val="center"/>
        <w:rPr>
          <w:color w:val="auto"/>
          <w:highlight w:val="none"/>
          <w:shd w:val="clear" w:color="auto" w:fill="auto"/>
        </w:rPr>
      </w:pPr>
      <w:r>
        <w:rPr>
          <w:color w:val="auto"/>
          <w:highlight w:val="none"/>
          <w:shd w:val="clear" w:color="auto" w:fill="auto"/>
        </w:rPr>
        <w:t> </w:t>
      </w:r>
    </w:p>
    <w:p w14:paraId="3A3BA8BB">
      <w:pPr>
        <w:pStyle w:val="32"/>
        <w:spacing w:beforeAutospacing="0" w:afterAutospacing="0"/>
        <w:jc w:val="center"/>
        <w:rPr>
          <w:color w:val="auto"/>
          <w:highlight w:val="none"/>
          <w:shd w:val="clear" w:color="auto" w:fill="auto"/>
        </w:rPr>
      </w:pPr>
      <w:r>
        <w:rPr>
          <w:color w:val="auto"/>
          <w:highlight w:val="none"/>
          <w:shd w:val="clear" w:color="auto" w:fill="auto"/>
        </w:rPr>
        <w:t> </w:t>
      </w:r>
    </w:p>
    <w:p w14:paraId="7C514329">
      <w:pPr>
        <w:pStyle w:val="32"/>
        <w:spacing w:beforeAutospacing="0" w:afterAutospacing="0"/>
        <w:jc w:val="center"/>
        <w:rPr>
          <w:color w:val="auto"/>
          <w:highlight w:val="none"/>
          <w:shd w:val="clear" w:color="auto" w:fill="auto"/>
        </w:rPr>
      </w:pPr>
      <w:r>
        <w:rPr>
          <w:color w:val="auto"/>
          <w:highlight w:val="none"/>
          <w:shd w:val="clear" w:color="auto" w:fill="auto"/>
        </w:rPr>
        <w:t> </w:t>
      </w:r>
    </w:p>
    <w:p w14:paraId="06B96DE3">
      <w:pPr>
        <w:pStyle w:val="32"/>
        <w:spacing w:beforeAutospacing="0" w:afterAutospacing="0"/>
        <w:jc w:val="both"/>
        <w:rPr>
          <w:color w:val="auto"/>
          <w:highlight w:val="none"/>
          <w:shd w:val="clear" w:color="auto" w:fill="auto"/>
        </w:rPr>
      </w:pPr>
      <w:r>
        <w:rPr>
          <w:color w:val="auto"/>
          <w:highlight w:val="none"/>
          <w:shd w:val="clear" w:color="auto" w:fill="auto"/>
        </w:rPr>
        <w:t> </w:t>
      </w:r>
    </w:p>
    <w:p w14:paraId="535FA6EC">
      <w:pPr>
        <w:rPr>
          <w:rFonts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br w:type="page" w:clear="all"/>
      </w:r>
    </w:p>
    <w:p w14:paraId="320C89DA">
      <w:pPr>
        <w:pStyle w:val="32"/>
        <w:spacing w:beforeAutospacing="0" w:afterAutospacing="0"/>
        <w:jc w:val="center"/>
        <w:rPr>
          <w:color w:val="auto"/>
          <w:highlight w:val="none"/>
          <w:u w:val="none"/>
        </w:rPr>
      </w:pPr>
      <w:r>
        <w:rPr>
          <w:rFonts w:hint="eastAsia" w:ascii="黑体" w:hAnsi="宋体" w:eastAsia="黑体" w:cs="黑体"/>
          <w:b/>
          <w:i/>
          <w:color w:val="auto"/>
          <w:sz w:val="32"/>
          <w:szCs w:val="32"/>
          <w:highlight w:val="none"/>
          <w:u w:val="none"/>
        </w:rPr>
        <w:t>十</w:t>
      </w:r>
      <w:r>
        <w:rPr>
          <w:rFonts w:hint="eastAsia" w:ascii="黑体" w:hAnsi="宋体" w:eastAsia="黑体" w:cs="黑体"/>
          <w:b/>
          <w:i/>
          <w:color w:val="auto"/>
          <w:sz w:val="32"/>
          <w:szCs w:val="32"/>
          <w:highlight w:val="none"/>
          <w:u w:val="none"/>
          <w:lang w:val="en-US" w:eastAsia="zh-CN"/>
        </w:rPr>
        <w:t>四</w:t>
      </w:r>
      <w:r>
        <w:rPr>
          <w:rFonts w:hint="eastAsia" w:ascii="黑体" w:hAnsi="宋体" w:eastAsia="黑体" w:cs="黑体"/>
          <w:b/>
          <w:i/>
          <w:color w:val="auto"/>
          <w:sz w:val="32"/>
          <w:szCs w:val="32"/>
          <w:highlight w:val="none"/>
          <w:u w:val="none"/>
        </w:rPr>
        <w:t>、开标一览表</w:t>
      </w:r>
    </w:p>
    <w:p w14:paraId="41CCEE78">
      <w:pPr>
        <w:pStyle w:val="32"/>
        <w:spacing w:beforeAutospacing="0" w:afterAutospacing="0"/>
        <w:ind w:firstLine="480"/>
        <w:jc w:val="both"/>
        <w:rPr>
          <w:color w:val="auto"/>
          <w:highlight w:val="none"/>
        </w:rPr>
      </w:pP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全称（加盖CA电子签章）：</w:t>
      </w:r>
    </w:p>
    <w:p w14:paraId="7820EF50">
      <w:pPr>
        <w:pStyle w:val="32"/>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2698786B">
      <w:pPr>
        <w:pStyle w:val="32"/>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tbl>
      <w:tblPr>
        <w:tblStyle w:val="35"/>
        <w:tblW w:w="8206" w:type="dxa"/>
        <w:tblCellSpacing w:w="0" w:type="dxa"/>
        <w:tblInd w:w="118" w:type="dxa"/>
        <w:tblLayout w:type="fixed"/>
        <w:tblCellMar>
          <w:top w:w="0" w:type="dxa"/>
          <w:left w:w="108" w:type="dxa"/>
          <w:bottom w:w="0" w:type="dxa"/>
          <w:right w:w="108" w:type="dxa"/>
        </w:tblCellMar>
      </w:tblPr>
      <w:tblGrid>
        <w:gridCol w:w="8206"/>
      </w:tblGrid>
      <w:tr w14:paraId="5FB7199A">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7F519A">
            <w:pPr>
              <w:pStyle w:val="32"/>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3B142259">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B6B3CD">
            <w:pPr>
              <w:pStyle w:val="32"/>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60BF4441">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EA7510">
            <w:pPr>
              <w:pStyle w:val="32"/>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bl>
    <w:p w14:paraId="0B1FE1B7">
      <w:pPr>
        <w:pStyle w:val="32"/>
        <w:spacing w:beforeAutospacing="0" w:afterAutospacing="0"/>
        <w:jc w:val="both"/>
        <w:rPr>
          <w:color w:val="auto"/>
          <w:highlight w:val="none"/>
        </w:rPr>
      </w:pPr>
      <w:r>
        <w:rPr>
          <w:color w:val="auto"/>
          <w:highlight w:val="none"/>
        </w:rPr>
        <w:t> </w:t>
      </w:r>
    </w:p>
    <w:p w14:paraId="7B2B3DAF">
      <w:pPr>
        <w:pStyle w:val="32"/>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26E4E39F">
      <w:pPr>
        <w:pStyle w:val="32"/>
        <w:spacing w:beforeAutospacing="0" w:afterAutospacing="0"/>
        <w:ind w:firstLine="480"/>
        <w:jc w:val="both"/>
        <w:rPr>
          <w:color w:val="auto"/>
          <w:highlight w:val="none"/>
        </w:rPr>
      </w:pPr>
      <w:r>
        <w:rPr>
          <w:color w:val="auto"/>
          <w:highlight w:val="none"/>
        </w:rPr>
        <w:t> </w:t>
      </w:r>
    </w:p>
    <w:p w14:paraId="4C416992">
      <w:pPr>
        <w:widowControl/>
        <w:spacing w:before="50" w:after="50"/>
        <w:jc w:val="center"/>
        <w:rPr>
          <w:rFonts w:hint="eastAsia" w:ascii="黑体" w:hAnsi="宋体" w:eastAsia="黑体" w:cs="黑体"/>
          <w:b/>
          <w:color w:val="auto"/>
          <w:sz w:val="32"/>
          <w:szCs w:val="32"/>
          <w:highlight w:val="none"/>
          <w:shd w:val="clear" w:color="auto" w:fill="auto"/>
          <w:lang w:val="en-US" w:eastAsia="zh-CN" w:bidi="ar-SA"/>
        </w:rPr>
      </w:pPr>
    </w:p>
    <w:p w14:paraId="471004B2">
      <w:pPr>
        <w:widowControl/>
        <w:spacing w:before="50" w:after="50"/>
        <w:jc w:val="center"/>
        <w:rPr>
          <w:rFonts w:hint="eastAsia" w:ascii="黑体" w:hAnsi="宋体" w:eastAsia="黑体" w:cs="黑体"/>
          <w:b/>
          <w:color w:val="auto"/>
          <w:sz w:val="32"/>
          <w:szCs w:val="32"/>
          <w:highlight w:val="none"/>
          <w:shd w:val="clear" w:color="auto" w:fill="auto"/>
          <w:lang w:val="en-US" w:eastAsia="zh-CN" w:bidi="ar-SA"/>
        </w:rPr>
      </w:pPr>
    </w:p>
    <w:p w14:paraId="20DEE68D">
      <w:pPr>
        <w:widowControl/>
        <w:spacing w:before="50" w:after="50"/>
        <w:jc w:val="center"/>
        <w:rPr>
          <w:rFonts w:hint="eastAsia" w:ascii="黑体" w:hAnsi="宋体" w:eastAsia="黑体" w:cs="黑体"/>
          <w:b/>
          <w:color w:val="auto"/>
          <w:sz w:val="32"/>
          <w:szCs w:val="32"/>
          <w:highlight w:val="none"/>
          <w:shd w:val="clear" w:color="auto" w:fill="auto"/>
          <w:lang w:val="en-US" w:eastAsia="zh-CN" w:bidi="ar-SA"/>
        </w:rPr>
      </w:pPr>
    </w:p>
    <w:p w14:paraId="32EE22B6">
      <w:pPr>
        <w:widowControl/>
        <w:spacing w:before="50" w:after="50"/>
        <w:jc w:val="center"/>
        <w:rPr>
          <w:rFonts w:hint="eastAsia" w:ascii="黑体" w:hAnsi="宋体" w:eastAsia="黑体" w:cs="黑体"/>
          <w:b/>
          <w:color w:val="auto"/>
          <w:sz w:val="32"/>
          <w:szCs w:val="32"/>
          <w:highlight w:val="none"/>
          <w:shd w:val="clear" w:color="auto" w:fill="auto"/>
          <w:lang w:val="en-US" w:eastAsia="zh-CN" w:bidi="ar-SA"/>
        </w:rPr>
      </w:pPr>
    </w:p>
    <w:p w14:paraId="03C72DEE">
      <w:pPr>
        <w:widowControl/>
        <w:spacing w:before="50" w:after="50"/>
        <w:jc w:val="center"/>
        <w:rPr>
          <w:rFonts w:hint="eastAsia" w:ascii="黑体" w:hAnsi="宋体" w:eastAsia="黑体" w:cs="黑体"/>
          <w:b/>
          <w:color w:val="auto"/>
          <w:sz w:val="32"/>
          <w:szCs w:val="32"/>
          <w:highlight w:val="none"/>
          <w:shd w:val="clear" w:color="auto" w:fill="auto"/>
          <w:lang w:val="en-US" w:eastAsia="zh-CN" w:bidi="ar-SA"/>
        </w:rPr>
      </w:pPr>
    </w:p>
    <w:p w14:paraId="52F7CCEF">
      <w:pPr>
        <w:widowControl/>
        <w:spacing w:before="50" w:after="50"/>
        <w:jc w:val="center"/>
        <w:rPr>
          <w:rFonts w:hint="eastAsia" w:ascii="黑体" w:hAnsi="宋体" w:eastAsia="黑体" w:cs="黑体"/>
          <w:b/>
          <w:color w:val="auto"/>
          <w:sz w:val="32"/>
          <w:szCs w:val="32"/>
          <w:highlight w:val="none"/>
          <w:shd w:val="clear" w:color="auto" w:fill="auto"/>
          <w:lang w:val="en-US" w:eastAsia="zh-CN" w:bidi="ar-SA"/>
        </w:rPr>
      </w:pPr>
    </w:p>
    <w:p w14:paraId="22F6A826">
      <w:pPr>
        <w:widowControl/>
        <w:spacing w:before="50" w:after="50"/>
        <w:jc w:val="center"/>
        <w:rPr>
          <w:rFonts w:hint="eastAsia" w:ascii="黑体" w:hAnsi="宋体" w:eastAsia="黑体" w:cs="黑体"/>
          <w:b/>
          <w:color w:val="auto"/>
          <w:sz w:val="32"/>
          <w:szCs w:val="32"/>
          <w:highlight w:val="none"/>
          <w:shd w:val="clear" w:color="auto" w:fill="auto"/>
          <w:lang w:val="en-US" w:eastAsia="zh-CN" w:bidi="ar-SA"/>
        </w:rPr>
      </w:pPr>
    </w:p>
    <w:p w14:paraId="7B7050BE">
      <w:pPr>
        <w:widowControl/>
        <w:spacing w:before="50" w:after="50"/>
        <w:jc w:val="center"/>
        <w:rPr>
          <w:rFonts w:hint="eastAsia" w:ascii="黑体" w:hAnsi="宋体" w:eastAsia="黑体" w:cs="黑体"/>
          <w:b/>
          <w:color w:val="auto"/>
          <w:sz w:val="32"/>
          <w:szCs w:val="32"/>
          <w:highlight w:val="none"/>
          <w:shd w:val="clear" w:color="auto" w:fill="auto"/>
          <w:lang w:val="en-US" w:eastAsia="zh-CN" w:bidi="ar-SA"/>
        </w:rPr>
      </w:pPr>
    </w:p>
    <w:p w14:paraId="537BA0F7">
      <w:pPr>
        <w:widowControl/>
        <w:spacing w:before="50" w:after="50"/>
        <w:jc w:val="center"/>
        <w:rPr>
          <w:rFonts w:hint="eastAsia" w:ascii="黑体" w:hAnsi="宋体" w:eastAsia="黑体" w:cs="黑体"/>
          <w:b/>
          <w:color w:val="auto"/>
          <w:sz w:val="32"/>
          <w:szCs w:val="32"/>
          <w:highlight w:val="none"/>
          <w:shd w:val="clear" w:color="auto" w:fill="auto"/>
          <w:lang w:val="en-US" w:eastAsia="zh-CN" w:bidi="ar-SA"/>
        </w:rPr>
      </w:pPr>
    </w:p>
    <w:p w14:paraId="5D54BB68">
      <w:pPr>
        <w:widowControl/>
        <w:spacing w:before="50" w:after="50"/>
        <w:jc w:val="center"/>
        <w:rPr>
          <w:rFonts w:hint="eastAsia" w:ascii="黑体" w:hAnsi="宋体" w:eastAsia="黑体" w:cs="黑体"/>
          <w:b/>
          <w:bCs/>
          <w:color w:val="auto"/>
          <w:sz w:val="32"/>
          <w:szCs w:val="32"/>
          <w:highlight w:val="none"/>
          <w:lang w:val="en-US" w:eastAsia="zh-CN" w:bidi="ar-SA"/>
        </w:rPr>
      </w:pPr>
    </w:p>
    <w:p w14:paraId="46B1F70E">
      <w:pPr>
        <w:widowControl/>
        <w:spacing w:before="50" w:after="50"/>
        <w:jc w:val="center"/>
        <w:rPr>
          <w:rFonts w:hint="eastAsia" w:ascii="黑体" w:hAnsi="宋体" w:eastAsia="黑体" w:cs="黑体"/>
          <w:b/>
          <w:bCs/>
          <w:color w:val="auto"/>
          <w:sz w:val="32"/>
          <w:szCs w:val="32"/>
          <w:highlight w:val="none"/>
          <w:lang w:val="en-US" w:eastAsia="zh-CN" w:bidi="ar-SA"/>
        </w:rPr>
      </w:pPr>
    </w:p>
    <w:p w14:paraId="0B6F9631">
      <w:pPr>
        <w:widowControl/>
        <w:spacing w:before="50" w:after="50"/>
        <w:jc w:val="center"/>
        <w:rPr>
          <w:rFonts w:hint="eastAsia" w:ascii="黑体" w:hAnsi="宋体" w:eastAsia="黑体" w:cs="黑体"/>
          <w:b/>
          <w:bCs/>
          <w:color w:val="auto"/>
          <w:sz w:val="32"/>
          <w:szCs w:val="32"/>
          <w:highlight w:val="none"/>
          <w:lang w:val="en-US" w:eastAsia="zh-CN" w:bidi="ar-SA"/>
        </w:rPr>
      </w:pPr>
    </w:p>
    <w:p w14:paraId="4DE37D8E">
      <w:pPr>
        <w:widowControl/>
        <w:spacing w:before="50" w:after="50"/>
        <w:jc w:val="center"/>
        <w:rPr>
          <w:rFonts w:hint="eastAsia" w:ascii="黑体" w:hAnsi="宋体" w:eastAsia="黑体" w:cs="黑体"/>
          <w:b/>
          <w:bCs/>
          <w:color w:val="auto"/>
          <w:sz w:val="32"/>
          <w:szCs w:val="32"/>
          <w:highlight w:val="none"/>
          <w:lang w:val="en-US" w:eastAsia="zh-CN" w:bidi="ar-SA"/>
        </w:rPr>
      </w:pPr>
    </w:p>
    <w:p w14:paraId="4CC6A919">
      <w:pPr>
        <w:widowControl/>
        <w:spacing w:before="50" w:after="50"/>
        <w:jc w:val="center"/>
        <w:rPr>
          <w:rFonts w:hint="eastAsia" w:ascii="黑体" w:hAnsi="宋体" w:eastAsia="黑体" w:cs="黑体"/>
          <w:b/>
          <w:bCs/>
          <w:color w:val="auto"/>
          <w:sz w:val="32"/>
          <w:szCs w:val="32"/>
          <w:highlight w:val="none"/>
          <w:lang w:val="en-US" w:eastAsia="zh-CN" w:bidi="ar-SA"/>
        </w:rPr>
      </w:pPr>
    </w:p>
    <w:p w14:paraId="45B084CA">
      <w:pPr>
        <w:widowControl/>
        <w:spacing w:before="50" w:after="50"/>
        <w:jc w:val="center"/>
        <w:rPr>
          <w:rFonts w:hint="eastAsia" w:ascii="黑体" w:hAnsi="宋体" w:eastAsia="黑体" w:cs="黑体"/>
          <w:b/>
          <w:bCs/>
          <w:color w:val="auto"/>
          <w:sz w:val="32"/>
          <w:szCs w:val="32"/>
          <w:highlight w:val="none"/>
          <w:lang w:val="en-US" w:eastAsia="zh-CN" w:bidi="ar-SA"/>
        </w:rPr>
      </w:pPr>
    </w:p>
    <w:p w14:paraId="78048AA2">
      <w:pPr>
        <w:widowControl/>
        <w:spacing w:before="50" w:after="50"/>
        <w:jc w:val="center"/>
        <w:rPr>
          <w:rFonts w:hint="eastAsia" w:ascii="黑体" w:hAnsi="宋体" w:eastAsia="黑体" w:cs="黑体"/>
          <w:b/>
          <w:bCs/>
          <w:color w:val="auto"/>
          <w:sz w:val="32"/>
          <w:szCs w:val="32"/>
          <w:highlight w:val="none"/>
          <w:lang w:val="en-US" w:eastAsia="zh-CN" w:bidi="ar-SA"/>
        </w:rPr>
      </w:pPr>
    </w:p>
    <w:p w14:paraId="5EDEA0E6">
      <w:pPr>
        <w:widowControl/>
        <w:spacing w:before="50" w:after="50"/>
        <w:jc w:val="center"/>
        <w:rPr>
          <w:rFonts w:hint="eastAsia" w:ascii="黑体" w:hAnsi="宋体" w:eastAsia="黑体" w:cs="黑体"/>
          <w:b/>
          <w:bCs/>
          <w:color w:val="auto"/>
          <w:sz w:val="32"/>
          <w:szCs w:val="32"/>
          <w:highlight w:val="none"/>
          <w:lang w:val="en-US" w:eastAsia="zh-CN" w:bidi="ar-SA"/>
        </w:rPr>
      </w:pPr>
    </w:p>
    <w:p w14:paraId="301AEF99">
      <w:pPr>
        <w:widowControl/>
        <w:spacing w:before="50" w:after="50"/>
        <w:jc w:val="center"/>
        <w:rPr>
          <w:rFonts w:hint="eastAsia" w:ascii="黑体" w:hAnsi="宋体" w:eastAsia="黑体" w:cs="黑体"/>
          <w:b/>
          <w:bCs/>
          <w:color w:val="auto"/>
          <w:sz w:val="32"/>
          <w:szCs w:val="32"/>
          <w:highlight w:val="none"/>
          <w:shd w:val="clear" w:color="auto" w:fill="auto"/>
          <w:lang w:val="en-US" w:eastAsia="zh-CN" w:bidi="ar-SA"/>
        </w:rPr>
      </w:pPr>
    </w:p>
    <w:p w14:paraId="1E985E3B">
      <w:pPr>
        <w:widowControl/>
        <w:spacing w:before="50" w:after="50"/>
        <w:jc w:val="center"/>
        <w:rPr>
          <w:rFonts w:hint="eastAsia" w:ascii="黑体" w:hAnsi="宋体" w:eastAsia="黑体" w:cs="黑体"/>
          <w:b/>
          <w:color w:val="auto"/>
          <w:sz w:val="32"/>
          <w:szCs w:val="32"/>
          <w:highlight w:val="none"/>
          <w:shd w:val="clear" w:color="auto" w:fill="auto"/>
          <w:lang w:val="en-US" w:eastAsia="zh-CN" w:bidi="ar-SA"/>
        </w:rPr>
      </w:pPr>
    </w:p>
    <w:p w14:paraId="4F5C299A">
      <w:pPr>
        <w:widowControl/>
        <w:spacing w:before="50" w:after="50"/>
        <w:jc w:val="left"/>
        <w:rPr>
          <w:rFonts w:hint="eastAsia" w:ascii="黑体" w:hAnsi="宋体" w:eastAsia="黑体" w:cs="黑体"/>
          <w:b/>
          <w:color w:val="auto"/>
          <w:sz w:val="32"/>
          <w:szCs w:val="32"/>
          <w:highlight w:val="none"/>
          <w:shd w:val="clear" w:color="auto" w:fill="auto"/>
          <w:lang w:val="en-US" w:eastAsia="zh-CN" w:bidi="ar-SA"/>
        </w:rPr>
      </w:pPr>
    </w:p>
    <w:p w14:paraId="5196AE27">
      <w:pPr>
        <w:widowControl/>
        <w:spacing w:before="50" w:after="50"/>
        <w:jc w:val="center"/>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t>十五、技术方案、服务承诺、培训承诺等</w:t>
      </w:r>
    </w:p>
    <w:p w14:paraId="2AEA35D7">
      <w:pPr>
        <w:pStyle w:val="32"/>
        <w:tabs>
          <w:tab w:val="left" w:pos="2160"/>
        </w:tabs>
        <w:spacing w:beforeAutospacing="0" w:afterAutospacing="0"/>
        <w:jc w:val="both"/>
        <w:rPr>
          <w:color w:val="auto"/>
          <w:highlight w:val="none"/>
          <w:shd w:val="clear" w:color="auto" w:fill="auto"/>
        </w:rPr>
      </w:pPr>
    </w:p>
    <w:p w14:paraId="7C61E256">
      <w:pPr>
        <w:widowControl/>
        <w:spacing w:line="499" w:lineRule="atLeast"/>
        <w:ind w:firstLine="1600"/>
        <w:rPr>
          <w:rFonts w:ascii="宋体" w:hAnsi="宋体" w:eastAsia="宋体" w:cs="宋体"/>
          <w:color w:val="auto"/>
          <w:sz w:val="32"/>
          <w:szCs w:val="32"/>
          <w:highlight w:val="none"/>
          <w:shd w:val="clear" w:color="auto" w:fill="auto"/>
        </w:rPr>
      </w:pPr>
    </w:p>
    <w:p w14:paraId="0644BDA4">
      <w:pPr>
        <w:widowControl/>
        <w:spacing w:line="499" w:lineRule="atLeast"/>
        <w:ind w:firstLine="1600"/>
        <w:rPr>
          <w:rFonts w:ascii="宋体" w:hAnsi="宋体" w:eastAsia="宋体" w:cs="宋体"/>
          <w:color w:val="auto"/>
          <w:sz w:val="32"/>
          <w:szCs w:val="32"/>
          <w:highlight w:val="none"/>
          <w:shd w:val="clear" w:color="auto" w:fill="auto"/>
        </w:rPr>
      </w:pPr>
    </w:p>
    <w:p w14:paraId="280AF892">
      <w:pPr>
        <w:widowControl/>
        <w:spacing w:line="499" w:lineRule="atLeast"/>
        <w:ind w:firstLine="1600"/>
        <w:rPr>
          <w:rFonts w:ascii="宋体" w:hAnsi="宋体" w:eastAsia="宋体" w:cs="宋体"/>
          <w:color w:val="auto"/>
          <w:sz w:val="32"/>
          <w:szCs w:val="32"/>
          <w:highlight w:val="none"/>
          <w:shd w:val="clear" w:color="auto" w:fill="auto"/>
        </w:rPr>
      </w:pPr>
    </w:p>
    <w:p w14:paraId="5749535A">
      <w:pPr>
        <w:widowControl/>
        <w:spacing w:line="499" w:lineRule="atLeast"/>
        <w:ind w:firstLine="1600"/>
        <w:rPr>
          <w:rFonts w:ascii="宋体" w:hAnsi="宋体" w:eastAsia="宋体" w:cs="宋体"/>
          <w:color w:val="auto"/>
          <w:sz w:val="32"/>
          <w:szCs w:val="32"/>
          <w:highlight w:val="none"/>
          <w:shd w:val="clear" w:color="auto" w:fill="auto"/>
        </w:rPr>
      </w:pPr>
    </w:p>
    <w:p w14:paraId="493E0CBE">
      <w:pPr>
        <w:widowControl/>
        <w:spacing w:line="499" w:lineRule="atLeast"/>
        <w:ind w:firstLine="1600"/>
        <w:rPr>
          <w:rFonts w:ascii="宋体" w:hAnsi="宋体" w:eastAsia="宋体" w:cs="宋体"/>
          <w:color w:val="auto"/>
          <w:sz w:val="32"/>
          <w:szCs w:val="32"/>
          <w:highlight w:val="none"/>
          <w:shd w:val="clear" w:color="auto" w:fill="auto"/>
        </w:rPr>
      </w:pPr>
    </w:p>
    <w:p w14:paraId="0971F14B">
      <w:pPr>
        <w:widowControl/>
        <w:spacing w:line="499" w:lineRule="atLeast"/>
        <w:ind w:firstLine="1600"/>
        <w:rPr>
          <w:rFonts w:ascii="宋体" w:hAnsi="宋体" w:eastAsia="宋体" w:cs="宋体"/>
          <w:color w:val="auto"/>
          <w:sz w:val="32"/>
          <w:szCs w:val="32"/>
          <w:highlight w:val="none"/>
          <w:shd w:val="clear" w:color="auto" w:fill="auto"/>
        </w:rPr>
      </w:pPr>
    </w:p>
    <w:p w14:paraId="62DE4AFF">
      <w:pPr>
        <w:widowControl/>
        <w:spacing w:line="499" w:lineRule="atLeast"/>
        <w:ind w:firstLine="1600"/>
        <w:rPr>
          <w:rFonts w:ascii="宋体" w:hAnsi="宋体" w:eastAsia="宋体" w:cs="宋体"/>
          <w:color w:val="auto"/>
          <w:sz w:val="32"/>
          <w:szCs w:val="32"/>
          <w:highlight w:val="none"/>
          <w:shd w:val="clear" w:color="auto" w:fill="auto"/>
        </w:rPr>
      </w:pPr>
    </w:p>
    <w:p w14:paraId="713C3EC9">
      <w:pPr>
        <w:widowControl/>
        <w:spacing w:line="499" w:lineRule="atLeast"/>
        <w:ind w:firstLine="1600"/>
        <w:rPr>
          <w:rFonts w:ascii="宋体" w:hAnsi="宋体" w:eastAsia="宋体" w:cs="宋体"/>
          <w:color w:val="auto"/>
          <w:sz w:val="32"/>
          <w:szCs w:val="32"/>
          <w:highlight w:val="none"/>
          <w:shd w:val="clear" w:color="auto" w:fill="auto"/>
        </w:rPr>
      </w:pPr>
    </w:p>
    <w:p w14:paraId="67193426">
      <w:pPr>
        <w:widowControl/>
        <w:spacing w:line="499" w:lineRule="atLeast"/>
        <w:ind w:firstLine="1600"/>
        <w:rPr>
          <w:rFonts w:ascii="宋体" w:hAnsi="宋体" w:eastAsia="宋体" w:cs="宋体"/>
          <w:color w:val="auto"/>
          <w:sz w:val="32"/>
          <w:szCs w:val="32"/>
          <w:highlight w:val="none"/>
          <w:shd w:val="clear" w:color="auto" w:fill="auto"/>
        </w:rPr>
      </w:pPr>
    </w:p>
    <w:p w14:paraId="5C25DC79">
      <w:pPr>
        <w:widowControl/>
        <w:spacing w:line="499" w:lineRule="atLeast"/>
        <w:ind w:firstLine="1600"/>
        <w:rPr>
          <w:rFonts w:ascii="宋体" w:hAnsi="宋体" w:eastAsia="宋体" w:cs="宋体"/>
          <w:color w:val="auto"/>
          <w:sz w:val="32"/>
          <w:szCs w:val="32"/>
          <w:highlight w:val="none"/>
          <w:shd w:val="clear" w:color="auto" w:fill="auto"/>
        </w:rPr>
      </w:pPr>
    </w:p>
    <w:p w14:paraId="23B5BA40">
      <w:pPr>
        <w:widowControl/>
        <w:spacing w:line="499" w:lineRule="atLeast"/>
        <w:ind w:firstLine="1600"/>
        <w:rPr>
          <w:rFonts w:ascii="宋体" w:hAnsi="宋体" w:eastAsia="宋体" w:cs="宋体"/>
          <w:color w:val="auto"/>
          <w:sz w:val="32"/>
          <w:szCs w:val="32"/>
          <w:highlight w:val="none"/>
          <w:shd w:val="clear" w:color="auto" w:fill="auto"/>
        </w:rPr>
      </w:pPr>
    </w:p>
    <w:p w14:paraId="51C8CE5C">
      <w:pPr>
        <w:widowControl/>
        <w:spacing w:line="499" w:lineRule="atLeast"/>
        <w:ind w:firstLine="1600"/>
        <w:rPr>
          <w:rFonts w:ascii="宋体" w:hAnsi="宋体" w:eastAsia="宋体" w:cs="宋体"/>
          <w:color w:val="auto"/>
          <w:sz w:val="32"/>
          <w:szCs w:val="32"/>
          <w:highlight w:val="none"/>
          <w:shd w:val="clear" w:color="auto" w:fill="auto"/>
        </w:rPr>
      </w:pPr>
    </w:p>
    <w:p w14:paraId="58A3705A">
      <w:pPr>
        <w:widowControl/>
        <w:spacing w:line="499" w:lineRule="atLeast"/>
        <w:ind w:firstLine="1600"/>
        <w:rPr>
          <w:rFonts w:ascii="宋体" w:hAnsi="宋体" w:eastAsia="宋体" w:cs="宋体"/>
          <w:color w:val="auto"/>
          <w:sz w:val="32"/>
          <w:szCs w:val="32"/>
          <w:highlight w:val="none"/>
          <w:shd w:val="clear" w:color="auto" w:fill="auto"/>
        </w:rPr>
      </w:pPr>
    </w:p>
    <w:p w14:paraId="644C1E2F">
      <w:pPr>
        <w:widowControl/>
        <w:spacing w:line="499" w:lineRule="atLeast"/>
        <w:ind w:firstLine="1600"/>
        <w:rPr>
          <w:rFonts w:ascii="宋体" w:hAnsi="宋体" w:eastAsia="宋体" w:cs="宋体"/>
          <w:color w:val="auto"/>
          <w:sz w:val="32"/>
          <w:szCs w:val="32"/>
          <w:highlight w:val="none"/>
          <w:shd w:val="clear" w:color="auto" w:fill="auto"/>
        </w:rPr>
      </w:pPr>
    </w:p>
    <w:p w14:paraId="652D5514">
      <w:pPr>
        <w:widowControl/>
        <w:spacing w:line="499" w:lineRule="atLeast"/>
        <w:ind w:firstLine="1600"/>
        <w:rPr>
          <w:rFonts w:ascii="宋体" w:hAnsi="宋体" w:eastAsia="宋体" w:cs="宋体"/>
          <w:color w:val="auto"/>
          <w:sz w:val="32"/>
          <w:szCs w:val="32"/>
          <w:highlight w:val="none"/>
          <w:shd w:val="clear" w:color="auto" w:fill="auto"/>
        </w:rPr>
      </w:pPr>
    </w:p>
    <w:p w14:paraId="5E95A585">
      <w:pPr>
        <w:widowControl/>
        <w:spacing w:line="499" w:lineRule="atLeast"/>
        <w:ind w:firstLine="1600"/>
        <w:rPr>
          <w:rFonts w:ascii="宋体" w:hAnsi="宋体" w:eastAsia="宋体" w:cs="宋体"/>
          <w:color w:val="auto"/>
          <w:sz w:val="32"/>
          <w:szCs w:val="32"/>
          <w:highlight w:val="none"/>
          <w:shd w:val="clear" w:color="auto" w:fill="auto"/>
        </w:rPr>
      </w:pPr>
    </w:p>
    <w:p w14:paraId="7649C2CB">
      <w:pPr>
        <w:jc w:val="center"/>
        <w:rPr>
          <w:rFonts w:hint="eastAsia" w:ascii="黑体" w:hAnsi="宋体" w:eastAsia="黑体" w:cs="黑体"/>
          <w:b/>
          <w:color w:val="auto"/>
          <w:sz w:val="32"/>
          <w:szCs w:val="32"/>
          <w:highlight w:val="none"/>
          <w:shd w:val="clear" w:color="auto" w:fill="auto"/>
          <w:lang w:val="en-US" w:eastAsia="zh-CN" w:bidi="ar-SA"/>
        </w:rPr>
      </w:pPr>
      <w:r>
        <w:rPr>
          <w:rFonts w:hint="eastAsia" w:ascii="宋体" w:hAnsi="宋体" w:eastAsia="宋体" w:cs="宋体"/>
          <w:color w:val="auto"/>
          <w:sz w:val="32"/>
          <w:szCs w:val="32"/>
          <w:highlight w:val="none"/>
          <w:shd w:val="clear" w:color="auto" w:fill="auto"/>
        </w:rPr>
        <w:br w:type="page" w:clear="all"/>
      </w:r>
      <w:r>
        <w:rPr>
          <w:rFonts w:hint="eastAsia" w:ascii="黑体" w:hAnsi="宋体" w:eastAsia="黑体" w:cs="黑体"/>
          <w:b/>
          <w:color w:val="auto"/>
          <w:sz w:val="32"/>
          <w:szCs w:val="32"/>
          <w:highlight w:val="none"/>
          <w:shd w:val="clear" w:color="auto" w:fill="auto"/>
          <w:lang w:val="en-US" w:eastAsia="zh-CN" w:bidi="ar-SA"/>
        </w:rPr>
        <w:t>十六、盐城市政府采购事前信用承诺书</w:t>
      </w:r>
    </w:p>
    <w:p w14:paraId="22F9757C">
      <w:pPr>
        <w:widowControl/>
        <w:spacing w:line="499" w:lineRule="atLeast"/>
        <w:ind w:firstLine="640"/>
        <w:jc w:val="left"/>
        <w:rPr>
          <w:rFonts w:ascii="宋体" w:hAnsi="宋体" w:eastAsia="宋体" w:cs="宋体"/>
          <w:color w:val="auto"/>
          <w:sz w:val="24"/>
          <w:highlight w:val="none"/>
          <w:shd w:val="clear" w:color="auto" w:fill="auto"/>
        </w:rPr>
      </w:pPr>
      <w:r>
        <w:rPr>
          <w:rFonts w:hint="eastAsia" w:ascii="宋体" w:hAnsi="宋体" w:eastAsia="宋体" w:cs="宋体"/>
          <w:color w:val="auto"/>
          <w:sz w:val="32"/>
          <w:szCs w:val="32"/>
          <w:highlight w:val="none"/>
          <w:shd w:val="clear" w:color="auto" w:fill="auto"/>
        </w:rPr>
        <w:t> </w:t>
      </w:r>
    </w:p>
    <w:p w14:paraId="16894952">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为营造我市公开、公平、公正、诚实守信的政府采购交易环境，树立诚信守法的</w:t>
      </w:r>
      <w:r>
        <w:rPr>
          <w:rFonts w:hint="eastAsia" w:ascii="宋体" w:hAnsi="宋体" w:eastAsia="宋体" w:cs="宋体"/>
          <w:color w:val="auto"/>
          <w:sz w:val="24"/>
          <w:highlight w:val="none"/>
          <w:shd w:val="clear" w:color="auto" w:fill="auto"/>
          <w:lang w:eastAsia="zh-CN"/>
        </w:rPr>
        <w:t>供应商</w:t>
      </w:r>
      <w:r>
        <w:rPr>
          <w:rFonts w:hint="eastAsia" w:ascii="宋体" w:hAnsi="宋体" w:eastAsia="宋体" w:cs="宋体"/>
          <w:color w:val="auto"/>
          <w:sz w:val="24"/>
          <w:highlight w:val="none"/>
          <w:shd w:val="clear" w:color="auto" w:fill="auto"/>
        </w:rPr>
        <w:t>形象，本人代表本单位作出以下承诺：</w:t>
      </w:r>
    </w:p>
    <w:p w14:paraId="381DF164">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shd w:val="clear" w:color="auto" w:fill="auto"/>
          <w:lang w:eastAsia="zh-CN"/>
        </w:rPr>
        <w:t>虚假成分</w:t>
      </w:r>
      <w:r>
        <w:rPr>
          <w:rFonts w:hint="eastAsia" w:ascii="宋体" w:hAnsi="宋体" w:eastAsia="宋体" w:cs="宋体"/>
          <w:color w:val="auto"/>
          <w:sz w:val="24"/>
          <w:highlight w:val="none"/>
          <w:shd w:val="clear" w:color="auto" w:fill="auto"/>
        </w:rPr>
        <w:t>，并对所提供资料的真实性负责；</w:t>
      </w:r>
    </w:p>
    <w:p w14:paraId="7F3E7F76">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D300471">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p>
    <w:p w14:paraId="7E7970AD">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（四）严格遵守即时信息公示规定，及时</w:t>
      </w:r>
      <w:r>
        <w:rPr>
          <w:rFonts w:hint="eastAsia" w:ascii="宋体" w:hAnsi="宋体" w:eastAsia="宋体" w:cs="宋体"/>
          <w:color w:val="auto"/>
          <w:sz w:val="24"/>
          <w:highlight w:val="none"/>
          <w:shd w:val="clear" w:color="auto" w:fill="auto"/>
          <w:lang w:eastAsia="zh-CN"/>
        </w:rPr>
        <w:t>维护和更新</w:t>
      </w:r>
      <w:r>
        <w:rPr>
          <w:rFonts w:hint="eastAsia" w:ascii="宋体" w:hAnsi="宋体" w:eastAsia="宋体" w:cs="宋体"/>
          <w:color w:val="auto"/>
          <w:sz w:val="24"/>
          <w:highlight w:val="none"/>
          <w:shd w:val="clear" w:color="auto" w:fill="auto"/>
        </w:rPr>
        <w:t>盐城市政府采购网中与本单位相关的信息；</w:t>
      </w:r>
    </w:p>
    <w:p w14:paraId="5C619F69">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1568DA3A">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（六）自觉接受政府、行业组织、社会公众、新闻舆论的监督；</w:t>
      </w:r>
    </w:p>
    <w:p w14:paraId="0DA01440">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5F674B2">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（八）本人已认真阅读了上述承诺，并向本单位员工作了宣传教育。</w:t>
      </w:r>
    </w:p>
    <w:p w14:paraId="10235B86">
      <w:pPr>
        <w:widowControl/>
        <w:spacing w:line="499" w:lineRule="atLeast"/>
        <w:jc w:val="left"/>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rPr>
        <w:t>                 </w:t>
      </w:r>
      <w:r>
        <w:rPr>
          <w:rFonts w:hint="eastAsia" w:ascii="宋体" w:hAnsi="宋体" w:eastAsia="宋体" w:cs="宋体"/>
          <w:color w:val="auto"/>
          <w:sz w:val="24"/>
          <w:highlight w:val="none"/>
          <w:shd w:val="clear" w:color="auto" w:fill="auto"/>
          <w:lang w:val="en-US" w:eastAsia="zh-CN"/>
        </w:rPr>
        <w:t xml:space="preserve"> </w:t>
      </w:r>
    </w:p>
    <w:p w14:paraId="694CA17A">
      <w:pPr>
        <w:widowControl/>
        <w:spacing w:line="499" w:lineRule="atLeast"/>
        <w:ind w:firstLine="432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法定代表人签名：</w:t>
      </w:r>
    </w:p>
    <w:p w14:paraId="7C138179">
      <w:pPr>
        <w:widowControl/>
        <w:spacing w:line="499" w:lineRule="atLeast"/>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 单位名称（盖章）：</w:t>
      </w:r>
    </w:p>
    <w:p w14:paraId="0D72A517">
      <w:pPr>
        <w:widowControl/>
        <w:spacing w:line="499" w:lineRule="atLeast"/>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年</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月</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日</w:t>
      </w:r>
    </w:p>
    <w:p w14:paraId="15A22898">
      <w:pPr>
        <w:pStyle w:val="32"/>
        <w:spacing w:beforeAutospacing="0" w:afterAutospacing="0"/>
        <w:jc w:val="both"/>
        <w:rPr>
          <w:rFonts w:hint="eastAsia" w:ascii="宋体" w:hAnsi="宋体" w:eastAsia="宋体" w:cs="宋体"/>
          <w:b/>
          <w:bCs/>
          <w:color w:val="auto"/>
          <w:sz w:val="32"/>
          <w:szCs w:val="32"/>
          <w:highlight w:val="none"/>
        </w:rPr>
      </w:pPr>
    </w:p>
    <w:p w14:paraId="3DE7C720">
      <w:pPr>
        <w:pStyle w:val="32"/>
        <w:spacing w:beforeAutospacing="0" w:afterAutospacing="0"/>
        <w:jc w:val="both"/>
        <w:rPr>
          <w:rFonts w:hint="eastAsia" w:ascii="宋体" w:hAnsi="宋体" w:eastAsia="宋体" w:cs="宋体"/>
          <w:b/>
          <w:bCs/>
          <w:color w:val="auto"/>
          <w:sz w:val="32"/>
          <w:szCs w:val="32"/>
          <w:highlight w:val="none"/>
          <w:shd w:val="clear" w:color="auto" w:fill="auto"/>
        </w:rPr>
      </w:pPr>
    </w:p>
    <w:p w14:paraId="51A68DB2">
      <w:pPr>
        <w:pStyle w:val="32"/>
        <w:spacing w:beforeAutospacing="0" w:afterAutospacing="0"/>
        <w:jc w:val="center"/>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质疑函范本</w:t>
      </w:r>
    </w:p>
    <w:p w14:paraId="3A573336">
      <w:pPr>
        <w:pStyle w:val="32"/>
        <w:spacing w:before="290"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一、质疑供应商基本信息</w:t>
      </w:r>
    </w:p>
    <w:p w14:paraId="712F8083">
      <w:pPr>
        <w:pStyle w:val="32"/>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质疑供应商：</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796B7366">
      <w:pPr>
        <w:pStyle w:val="32"/>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w:t>
      </w:r>
    </w:p>
    <w:p w14:paraId="5DDEE4E1">
      <w:pPr>
        <w:pStyle w:val="32"/>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邮编：</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38187563">
      <w:pPr>
        <w:pStyle w:val="32"/>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联系人：</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734DADA3">
      <w:pPr>
        <w:pStyle w:val="32"/>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联系电话：</w:t>
      </w:r>
      <w:r>
        <w:rPr>
          <w:rFonts w:hint="eastAsia" w:ascii="宋体" w:hAnsi="宋体" w:eastAsia="宋体" w:cs="宋体"/>
          <w:color w:val="auto"/>
          <w:highlight w:val="none"/>
          <w:u w:val="single"/>
          <w:shd w:val="clear" w:color="auto" w:fill="auto"/>
        </w:rPr>
        <w:t xml:space="preserve">                                           </w:t>
      </w:r>
    </w:p>
    <w:p w14:paraId="09A87E16">
      <w:pPr>
        <w:pStyle w:val="32"/>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授权代表：</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13166CC2">
      <w:pPr>
        <w:pStyle w:val="32"/>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联系电话：</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4580F5DB">
      <w:pPr>
        <w:pStyle w:val="32"/>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地址： </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75A73A05">
      <w:pPr>
        <w:pStyle w:val="32"/>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邮编：</w:t>
      </w:r>
      <w:r>
        <w:rPr>
          <w:rFonts w:hint="eastAsia" w:ascii="宋体" w:hAnsi="宋体" w:eastAsia="宋体" w:cs="宋体"/>
          <w:color w:val="auto"/>
          <w:highlight w:val="none"/>
          <w:u w:val="single"/>
          <w:shd w:val="clear" w:color="auto" w:fill="auto"/>
        </w:rPr>
        <w:t xml:space="preserve">                                </w:t>
      </w:r>
    </w:p>
    <w:p w14:paraId="2159928A">
      <w:pPr>
        <w:pStyle w:val="32"/>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二、质疑项目基本情况</w:t>
      </w:r>
    </w:p>
    <w:p w14:paraId="331CA8E6">
      <w:pPr>
        <w:pStyle w:val="32"/>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质疑项目的名称：</w:t>
      </w:r>
      <w:r>
        <w:rPr>
          <w:rFonts w:hint="eastAsia" w:ascii="宋体" w:hAnsi="宋体" w:eastAsia="宋体" w:cs="宋体"/>
          <w:color w:val="auto"/>
          <w:highlight w:val="none"/>
          <w:u w:val="single"/>
          <w:shd w:val="clear" w:color="auto" w:fill="auto"/>
        </w:rPr>
        <w:t xml:space="preserve">                            </w:t>
      </w:r>
    </w:p>
    <w:p w14:paraId="789E371D">
      <w:pPr>
        <w:pStyle w:val="32"/>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质疑项目的编号：</w:t>
      </w:r>
      <w:r>
        <w:rPr>
          <w:rFonts w:hint="eastAsia" w:ascii="宋体" w:hAnsi="宋体" w:eastAsia="宋体" w:cs="宋体"/>
          <w:color w:val="auto"/>
          <w:highlight w:val="none"/>
          <w:u w:val="single"/>
          <w:shd w:val="clear" w:color="auto" w:fill="auto"/>
        </w:rPr>
        <w:t xml:space="preserve">                          </w:t>
      </w:r>
    </w:p>
    <w:p w14:paraId="2AF78F73">
      <w:pPr>
        <w:pStyle w:val="32"/>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1C09D0C6">
      <w:pPr>
        <w:pStyle w:val="32"/>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采购人名称：</w:t>
      </w:r>
      <w:r>
        <w:rPr>
          <w:rFonts w:hint="eastAsia" w:ascii="宋体" w:hAnsi="宋体" w:eastAsia="宋体" w:cs="宋体"/>
          <w:color w:val="auto"/>
          <w:highlight w:val="none"/>
          <w:u w:val="single"/>
          <w:shd w:val="clear" w:color="auto" w:fill="auto"/>
        </w:rPr>
        <w:t xml:space="preserve">                            </w:t>
      </w:r>
    </w:p>
    <w:p w14:paraId="41C0192C">
      <w:pPr>
        <w:pStyle w:val="32"/>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磋商</w:t>
      </w:r>
      <w:r>
        <w:rPr>
          <w:rFonts w:hint="eastAsia" w:ascii="宋体" w:hAnsi="宋体" w:eastAsia="宋体" w:cs="宋体"/>
          <w:color w:val="auto"/>
          <w:highlight w:val="none"/>
          <w:shd w:val="clear" w:color="auto" w:fill="auto"/>
        </w:rPr>
        <w:t>文件获取日期：</w:t>
      </w:r>
      <w:r>
        <w:rPr>
          <w:rFonts w:hint="eastAsia" w:ascii="宋体" w:hAnsi="宋体" w:eastAsia="宋体" w:cs="宋体"/>
          <w:color w:val="auto"/>
          <w:highlight w:val="none"/>
          <w:u w:val="single"/>
          <w:shd w:val="clear" w:color="auto" w:fill="auto"/>
        </w:rPr>
        <w:t xml:space="preserve">                             </w:t>
      </w:r>
    </w:p>
    <w:p w14:paraId="0D45F71E">
      <w:pPr>
        <w:pStyle w:val="32"/>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三、质疑事项具体内容</w:t>
      </w:r>
    </w:p>
    <w:p w14:paraId="4372C9B4">
      <w:pPr>
        <w:pStyle w:val="32"/>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质疑事项1：</w:t>
      </w:r>
      <w:r>
        <w:rPr>
          <w:rFonts w:hint="eastAsia" w:ascii="宋体" w:hAnsi="宋体" w:eastAsia="宋体" w:cs="宋体"/>
          <w:color w:val="auto"/>
          <w:highlight w:val="none"/>
          <w:u w:val="single"/>
          <w:shd w:val="clear" w:color="auto" w:fill="auto"/>
        </w:rPr>
        <w:t xml:space="preserve">                             </w:t>
      </w:r>
    </w:p>
    <w:p w14:paraId="7C0DFB2B">
      <w:pPr>
        <w:pStyle w:val="32"/>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事实依据：</w:t>
      </w:r>
      <w:r>
        <w:rPr>
          <w:rFonts w:hint="eastAsia" w:ascii="宋体" w:hAnsi="宋体" w:eastAsia="宋体" w:cs="宋体"/>
          <w:color w:val="auto"/>
          <w:highlight w:val="none"/>
          <w:u w:val="single"/>
          <w:shd w:val="clear" w:color="auto" w:fill="auto"/>
        </w:rPr>
        <w:t xml:space="preserve">                                                   </w:t>
      </w:r>
    </w:p>
    <w:p w14:paraId="692D77B4">
      <w:pPr>
        <w:pStyle w:val="32"/>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法律依据：</w:t>
      </w:r>
      <w:r>
        <w:rPr>
          <w:rFonts w:hint="eastAsia" w:ascii="宋体" w:hAnsi="宋体" w:eastAsia="宋体" w:cs="宋体"/>
          <w:color w:val="auto"/>
          <w:highlight w:val="none"/>
          <w:u w:val="single"/>
          <w:shd w:val="clear" w:color="auto" w:fill="auto"/>
        </w:rPr>
        <w:t xml:space="preserve">                                                    </w:t>
      </w:r>
    </w:p>
    <w:p w14:paraId="0331AD68">
      <w:pPr>
        <w:pStyle w:val="32"/>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质疑事项2</w:t>
      </w:r>
    </w:p>
    <w:p w14:paraId="7F043A6C">
      <w:pPr>
        <w:pStyle w:val="32"/>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w:t>
      </w:r>
    </w:p>
    <w:p w14:paraId="73C3A368">
      <w:pPr>
        <w:pStyle w:val="32"/>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四、与质疑事项相关的质疑请求</w:t>
      </w:r>
    </w:p>
    <w:p w14:paraId="1552B159">
      <w:pPr>
        <w:pStyle w:val="32"/>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请求：</w:t>
      </w:r>
      <w:r>
        <w:rPr>
          <w:rFonts w:hint="eastAsia" w:ascii="宋体" w:hAnsi="宋体" w:eastAsia="宋体" w:cs="宋体"/>
          <w:color w:val="auto"/>
          <w:highlight w:val="none"/>
          <w:u w:val="single"/>
          <w:shd w:val="clear" w:color="auto" w:fill="auto"/>
        </w:rPr>
        <w:t xml:space="preserve">                                                          </w:t>
      </w:r>
    </w:p>
    <w:p w14:paraId="6F01F9AC">
      <w:pPr>
        <w:pStyle w:val="32"/>
        <w:spacing w:beforeAutospacing="0" w:afterAutospacing="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签字(签章)：                 公章：               日期：    </w:t>
      </w:r>
    </w:p>
    <w:p w14:paraId="36A8DC6D">
      <w:pPr>
        <w:pStyle w:val="32"/>
        <w:keepNext w:val="0"/>
        <w:keepLines w:val="0"/>
        <w:pageBreakBefore w:val="0"/>
        <w:spacing w:beforeAutospacing="0" w:afterAutospacing="0" w:line="500" w:lineRule="exact"/>
        <w:jc w:val="both"/>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质疑函制作说明：</w:t>
      </w:r>
    </w:p>
    <w:p w14:paraId="31B91892">
      <w:pPr>
        <w:pStyle w:val="32"/>
        <w:keepNext w:val="0"/>
        <w:keepLines w:val="0"/>
        <w:pageBreakBefore w:val="0"/>
        <w:widowControl/>
        <w:spacing w:beforeAutospacing="0" w:afterAutospacing="0" w:line="500" w:lineRule="exac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1.供应商提出质疑时，应提交质疑函和必要的证明材料。</w:t>
      </w:r>
    </w:p>
    <w:p w14:paraId="689C479D">
      <w:pPr>
        <w:pStyle w:val="32"/>
        <w:keepNext w:val="0"/>
        <w:keepLines w:val="0"/>
        <w:pageBreakBefore w:val="0"/>
        <w:widowControl/>
        <w:spacing w:beforeAutospacing="0" w:afterAutospacing="0" w:line="500" w:lineRule="exac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5C52AD0">
      <w:pPr>
        <w:pStyle w:val="32"/>
        <w:keepNext w:val="0"/>
        <w:keepLines w:val="0"/>
        <w:pageBreakBefore w:val="0"/>
        <w:widowControl/>
        <w:spacing w:beforeAutospacing="0" w:afterAutospacing="0" w:line="500" w:lineRule="exac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3.质疑供应商若对项目的某一分包进行质疑，质疑函中应列明具体分包号。</w:t>
      </w:r>
    </w:p>
    <w:p w14:paraId="50CA31DC">
      <w:pPr>
        <w:pStyle w:val="32"/>
        <w:keepNext w:val="0"/>
        <w:keepLines w:val="0"/>
        <w:pageBreakBefore w:val="0"/>
        <w:widowControl/>
        <w:spacing w:beforeAutospacing="0" w:afterAutospacing="0" w:line="500" w:lineRule="exac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4.质疑函的质疑事项应具体、明确，并有必要的事实依据和法律依据。</w:t>
      </w:r>
    </w:p>
    <w:p w14:paraId="6FF11601">
      <w:pPr>
        <w:pStyle w:val="32"/>
        <w:keepNext w:val="0"/>
        <w:keepLines w:val="0"/>
        <w:pageBreakBefore w:val="0"/>
        <w:widowControl/>
        <w:spacing w:beforeAutospacing="0" w:afterAutospacing="0" w:line="500" w:lineRule="exac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5.质疑函的质疑请求应与质疑事项相关。</w:t>
      </w:r>
    </w:p>
    <w:p w14:paraId="07937CA5">
      <w:pPr>
        <w:pStyle w:val="32"/>
        <w:keepNext w:val="0"/>
        <w:keepLines w:val="0"/>
        <w:pageBreakBefore w:val="0"/>
        <w:widowControl/>
        <w:spacing w:beforeAutospacing="0" w:afterAutospacing="0" w:line="500" w:lineRule="exac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6.质疑供应商为自然人的，质疑函应由本人签字；质疑供应商为法人或者其他组织的，质疑函应由法定代表人、主要负责人，或者其授权代表签字或者盖章，并加盖公章。</w:t>
      </w:r>
    </w:p>
    <w:p w14:paraId="44203037">
      <w:pPr>
        <w:pStyle w:val="32"/>
        <w:spacing w:beforeAutospacing="0" w:afterAutospacing="0"/>
        <w:ind w:firstLine="42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14:paraId="7FCFB24F">
      <w:pPr>
        <w:rPr>
          <w:color w:val="auto"/>
          <w:highlight w:val="none"/>
          <w:shd w:val="clear" w:color="auto" w:fill="auto"/>
        </w:rPr>
      </w:pPr>
    </w:p>
    <w:p w14:paraId="426C93CE">
      <w:pPr>
        <w:pStyle w:val="32"/>
        <w:spacing w:beforeAutospacing="0" w:afterAutospacing="0"/>
        <w:ind w:firstLine="420"/>
        <w:jc w:val="both"/>
        <w:rPr>
          <w:color w:val="auto"/>
          <w:highlight w:val="none"/>
          <w:shd w:val="clear" w:color="auto" w:fill="auto"/>
        </w:rPr>
      </w:pPr>
      <w:r>
        <w:rPr>
          <w:color w:val="auto"/>
          <w:highlight w:val="none"/>
          <w:shd w:val="clear" w:color="auto" w:fill="auto"/>
        </w:rPr>
        <w:t> </w:t>
      </w:r>
      <w:bookmarkEnd w:id="6"/>
      <w:bookmarkEnd w:id="16"/>
      <w:bookmarkEnd w:id="63"/>
      <w:bookmarkEnd w:id="64"/>
      <w:bookmarkEnd w:id="65"/>
      <w:bookmarkEnd w:id="66"/>
      <w:bookmarkEnd w:id="67"/>
      <w:bookmarkEnd w:id="68"/>
      <w:bookmarkEnd w:id="69"/>
      <w:bookmarkEnd w:id="70"/>
      <w:bookmarkEnd w:id="79"/>
      <w:bookmarkEnd w:id="80"/>
      <w:bookmarkEnd w:id="87"/>
      <w:bookmarkEnd w:id="136"/>
      <w:bookmarkEnd w:id="137"/>
      <w:bookmarkEnd w:id="148"/>
      <w:bookmarkEnd w:id="149"/>
      <w:bookmarkEnd w:id="150"/>
      <w:bookmarkEnd w:id="151"/>
      <w:bookmarkEnd w:id="152"/>
      <w:bookmarkEnd w:id="153"/>
      <w:bookmarkEnd w:id="154"/>
      <w:bookmarkEnd w:id="156"/>
      <w:bookmarkEnd w:id="165"/>
      <w:bookmarkEnd w:id="166"/>
      <w:bookmarkEnd w:id="167"/>
      <w:bookmarkEnd w:id="168"/>
      <w:bookmarkEnd w:id="169"/>
    </w:p>
    <w:p w14:paraId="2B0565ED">
      <w:pPr>
        <w:rPr>
          <w:color w:val="auto"/>
          <w:highlight w:val="none"/>
          <w:shd w:val="clear" w:color="auto" w:fill="auto"/>
        </w:rPr>
      </w:pPr>
    </w:p>
    <w:p w14:paraId="2F7D7210">
      <w:pPr>
        <w:rPr>
          <w:color w:val="auto"/>
          <w:highlight w:val="none"/>
          <w:shd w:val="clear" w:color="auto" w:fill="auto"/>
        </w:rPr>
      </w:pPr>
    </w:p>
    <w:p w14:paraId="07EAE22B"/>
    <w:sectPr>
      <w:footerReference r:id="rId4" w:type="default"/>
      <w:pgSz w:w="11906" w:h="16838"/>
      <w:pgMar w:top="1440" w:right="1440" w:bottom="1440" w:left="144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隶书">
    <w:altName w:val="微软雅黑"/>
    <w:panose1 w:val="0201050906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4F9C2767">
    <w:panose1 w:val="020B0503020204020204"/>
    <w:charset w:val="86"/>
    <w:family w:val="auto"/>
    <w:pitch w:val="default"/>
    <w:sig w:usb0="00000001"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37693">
    <w:pPr>
      <w:pStyle w:val="2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858592">
                          <w:pPr>
                            <w:pStyle w:val="2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01858592">
                    <w:pPr>
                      <w:pStyle w:val="20"/>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96D17">
    <w:pPr>
      <w:pStyle w:val="22"/>
      <w:pBdr>
        <w:bottom w:val="none" w:color="auto" w:sz="0" w:space="1"/>
      </w:pBdr>
      <w:jc w:val="left"/>
      <w:rPr>
        <w:rFonts w:hint="eastAsia" w:ascii="隶书" w:hAnsi="隶书" w:eastAsia="隶书" w:cs="隶书"/>
        <w:sz w:val="21"/>
        <w:szCs w:val="21"/>
        <w:lang w:val="en-US" w:eastAsia="zh-CN"/>
      </w:rPr>
    </w:pPr>
    <w:r>
      <w:rPr>
        <w:rFonts w:hint="eastAsia" w:ascii="隶书" w:hAnsi="隶书" w:eastAsia="隶书" w:cs="隶书"/>
        <w:sz w:val="21"/>
        <w:szCs w:val="21"/>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56F1934A"/>
    <w:multiLevelType w:val="singleLevel"/>
    <w:tmpl w:val="56F1934A"/>
    <w:lvl w:ilvl="0" w:tentative="0">
      <w:start w:val="1"/>
      <w:numFmt w:val="decimal"/>
      <w:suff w:val="nothing"/>
      <w:lvlText w:val="%1、"/>
      <w:lvlJc w:val="left"/>
    </w:lvl>
  </w:abstractNum>
  <w:abstractNum w:abstractNumId="2">
    <w:nsid w:val="59ADCABA"/>
    <w:multiLevelType w:val="multilevel"/>
    <w:tmpl w:val="59ADCABA"/>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D7352"/>
    <w:rsid w:val="01BB3CD7"/>
    <w:rsid w:val="024E0BB2"/>
    <w:rsid w:val="026E2AF7"/>
    <w:rsid w:val="02B81FC4"/>
    <w:rsid w:val="03125B78"/>
    <w:rsid w:val="03887BE8"/>
    <w:rsid w:val="043E5AA1"/>
    <w:rsid w:val="046C750A"/>
    <w:rsid w:val="04F76DD4"/>
    <w:rsid w:val="051E0804"/>
    <w:rsid w:val="066D3155"/>
    <w:rsid w:val="06A04CBB"/>
    <w:rsid w:val="06F7755F"/>
    <w:rsid w:val="076646E5"/>
    <w:rsid w:val="08602EE2"/>
    <w:rsid w:val="0925299D"/>
    <w:rsid w:val="09F24D59"/>
    <w:rsid w:val="0ABA1F25"/>
    <w:rsid w:val="0AF344E1"/>
    <w:rsid w:val="0C0B13B7"/>
    <w:rsid w:val="0C272694"/>
    <w:rsid w:val="0C9A3580"/>
    <w:rsid w:val="0D054058"/>
    <w:rsid w:val="0DB066B9"/>
    <w:rsid w:val="0DEB14A0"/>
    <w:rsid w:val="118C4D48"/>
    <w:rsid w:val="121D1E44"/>
    <w:rsid w:val="123F1FF0"/>
    <w:rsid w:val="13AC59E2"/>
    <w:rsid w:val="13CE33F5"/>
    <w:rsid w:val="146526A1"/>
    <w:rsid w:val="14BC3B96"/>
    <w:rsid w:val="160E6673"/>
    <w:rsid w:val="1642631D"/>
    <w:rsid w:val="16C805D0"/>
    <w:rsid w:val="185D2F9A"/>
    <w:rsid w:val="19D92AF4"/>
    <w:rsid w:val="1A1104E0"/>
    <w:rsid w:val="1AC60B16"/>
    <w:rsid w:val="1BDC3991"/>
    <w:rsid w:val="1BFE57FD"/>
    <w:rsid w:val="1F705CA9"/>
    <w:rsid w:val="237A5348"/>
    <w:rsid w:val="243112C3"/>
    <w:rsid w:val="24A8491F"/>
    <w:rsid w:val="24DE5462"/>
    <w:rsid w:val="25B12B77"/>
    <w:rsid w:val="26C436A5"/>
    <w:rsid w:val="275B0FEC"/>
    <w:rsid w:val="2761728D"/>
    <w:rsid w:val="27DD40F7"/>
    <w:rsid w:val="28A16ED3"/>
    <w:rsid w:val="28C17575"/>
    <w:rsid w:val="29A7487F"/>
    <w:rsid w:val="2AD90BA6"/>
    <w:rsid w:val="2CED6B8B"/>
    <w:rsid w:val="2CF27CFD"/>
    <w:rsid w:val="2D3A44A6"/>
    <w:rsid w:val="2D766B80"/>
    <w:rsid w:val="2DFA08A5"/>
    <w:rsid w:val="2E6469D8"/>
    <w:rsid w:val="304F36B8"/>
    <w:rsid w:val="30C714A1"/>
    <w:rsid w:val="30CC54B3"/>
    <w:rsid w:val="31CD2AE7"/>
    <w:rsid w:val="32B55A55"/>
    <w:rsid w:val="33C5616B"/>
    <w:rsid w:val="35223BD8"/>
    <w:rsid w:val="355552CD"/>
    <w:rsid w:val="35E6686D"/>
    <w:rsid w:val="3651018A"/>
    <w:rsid w:val="36C47130"/>
    <w:rsid w:val="38683569"/>
    <w:rsid w:val="3A2C7423"/>
    <w:rsid w:val="3B277F78"/>
    <w:rsid w:val="3BC60CD2"/>
    <w:rsid w:val="3DDE4530"/>
    <w:rsid w:val="3DFD0D30"/>
    <w:rsid w:val="3E3A7756"/>
    <w:rsid w:val="3F035D9A"/>
    <w:rsid w:val="3FF80D4F"/>
    <w:rsid w:val="409A035E"/>
    <w:rsid w:val="426D5C02"/>
    <w:rsid w:val="42980EEF"/>
    <w:rsid w:val="4376670D"/>
    <w:rsid w:val="43D9217C"/>
    <w:rsid w:val="44896D41"/>
    <w:rsid w:val="45343151"/>
    <w:rsid w:val="45C51FFB"/>
    <w:rsid w:val="462C02CC"/>
    <w:rsid w:val="46601D24"/>
    <w:rsid w:val="477261B2"/>
    <w:rsid w:val="47CF0F0F"/>
    <w:rsid w:val="49026457"/>
    <w:rsid w:val="49553696"/>
    <w:rsid w:val="4AC26B09"/>
    <w:rsid w:val="4B1A06F3"/>
    <w:rsid w:val="4CE060B0"/>
    <w:rsid w:val="4D8E361A"/>
    <w:rsid w:val="4E9A62A5"/>
    <w:rsid w:val="50067498"/>
    <w:rsid w:val="5038161B"/>
    <w:rsid w:val="50DB6B76"/>
    <w:rsid w:val="51B64EEE"/>
    <w:rsid w:val="51DD06CC"/>
    <w:rsid w:val="51FB0B52"/>
    <w:rsid w:val="52974D1F"/>
    <w:rsid w:val="53894F6C"/>
    <w:rsid w:val="53963057"/>
    <w:rsid w:val="54036A69"/>
    <w:rsid w:val="550C1AC2"/>
    <w:rsid w:val="555E7D76"/>
    <w:rsid w:val="557D644E"/>
    <w:rsid w:val="558570B1"/>
    <w:rsid w:val="56EF3329"/>
    <w:rsid w:val="58C425E6"/>
    <w:rsid w:val="59162E41"/>
    <w:rsid w:val="5AD85ED5"/>
    <w:rsid w:val="5B860B46"/>
    <w:rsid w:val="5FF34165"/>
    <w:rsid w:val="60E73074"/>
    <w:rsid w:val="61AD1BA1"/>
    <w:rsid w:val="622A5C78"/>
    <w:rsid w:val="628F1DEE"/>
    <w:rsid w:val="62FB092D"/>
    <w:rsid w:val="633D546F"/>
    <w:rsid w:val="63996A94"/>
    <w:rsid w:val="6470717E"/>
    <w:rsid w:val="64CE2822"/>
    <w:rsid w:val="64F6555F"/>
    <w:rsid w:val="65EC0A86"/>
    <w:rsid w:val="666E469A"/>
    <w:rsid w:val="66B051A7"/>
    <w:rsid w:val="67A41618"/>
    <w:rsid w:val="68460921"/>
    <w:rsid w:val="688D02FE"/>
    <w:rsid w:val="689D41B3"/>
    <w:rsid w:val="69A43B52"/>
    <w:rsid w:val="6A5135AE"/>
    <w:rsid w:val="6AF9611F"/>
    <w:rsid w:val="6B811C71"/>
    <w:rsid w:val="6CC77E10"/>
    <w:rsid w:val="6CC8224D"/>
    <w:rsid w:val="6D981C1F"/>
    <w:rsid w:val="6F3D03B5"/>
    <w:rsid w:val="6FDB54E9"/>
    <w:rsid w:val="709E4A5F"/>
    <w:rsid w:val="71306870"/>
    <w:rsid w:val="716858D9"/>
    <w:rsid w:val="719A3A8C"/>
    <w:rsid w:val="728266DE"/>
    <w:rsid w:val="72BF19FC"/>
    <w:rsid w:val="72C33EB5"/>
    <w:rsid w:val="73F6144E"/>
    <w:rsid w:val="745240E9"/>
    <w:rsid w:val="7570695A"/>
    <w:rsid w:val="759F5B15"/>
    <w:rsid w:val="768A2321"/>
    <w:rsid w:val="76C021E7"/>
    <w:rsid w:val="773A7DA2"/>
    <w:rsid w:val="78362761"/>
    <w:rsid w:val="79404F19"/>
    <w:rsid w:val="794E3B82"/>
    <w:rsid w:val="79C16FDE"/>
    <w:rsid w:val="7A0643B5"/>
    <w:rsid w:val="7ADB314B"/>
    <w:rsid w:val="7BF73FB5"/>
    <w:rsid w:val="7CE342B8"/>
    <w:rsid w:val="7DD52E9F"/>
    <w:rsid w:val="7EA47C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qFormat/>
    <w:uiPriority w:val="0"/>
  </w:style>
  <w:style w:type="table" w:default="1" w:styleId="35">
    <w:name w:val="Normal Table"/>
    <w:semiHidden/>
    <w:qFormat/>
    <w:uiPriority w:val="0"/>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3">
    <w:name w:val="Body Text"/>
    <w:basedOn w:val="1"/>
    <w:qFormat/>
    <w:uiPriority w:val="0"/>
    <w:pPr>
      <w:spacing w:after="120"/>
    </w:pPr>
  </w:style>
  <w:style w:type="paragraph" w:styleId="14">
    <w:name w:val="Body Text Indent"/>
    <w:basedOn w:val="1"/>
    <w:qFormat/>
    <w:uiPriority w:val="0"/>
    <w:pPr>
      <w:ind w:firstLine="645"/>
    </w:pPr>
    <w:rPr>
      <w:rFonts w:ascii="楷体_GB2312" w:eastAsia="楷体_GB2312"/>
      <w:sz w:val="32"/>
      <w:szCs w:val="32"/>
    </w:rPr>
  </w:style>
  <w:style w:type="paragraph" w:styleId="15">
    <w:name w:val="Block Text"/>
    <w:basedOn w:val="1"/>
    <w:qFormat/>
    <w:uiPriority w:val="0"/>
    <w:pPr>
      <w:ind w:left="420" w:right="33"/>
      <w:jc w:val="left"/>
    </w:pPr>
    <w:rPr>
      <w:sz w:val="24"/>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7"/>
    <w:semiHidden/>
    <w:unhideWhenUsed/>
    <w:qFormat/>
    <w:uiPriority w:val="99"/>
    <w:pPr>
      <w:spacing w:after="0" w:line="240" w:lineRule="auto"/>
    </w:pPr>
    <w:rPr>
      <w:sz w:val="20"/>
    </w:rPr>
  </w:style>
  <w:style w:type="paragraph" w:styleId="20">
    <w:name w:val="footer"/>
    <w:basedOn w:val="1"/>
    <w:qFormat/>
    <w:uiPriority w:val="0"/>
    <w:pPr>
      <w:tabs>
        <w:tab w:val="center" w:pos="4153"/>
        <w:tab w:val="right" w:pos="8306"/>
      </w:tabs>
      <w:jc w:val="left"/>
    </w:pPr>
    <w:rPr>
      <w:sz w:val="18"/>
    </w:rPr>
  </w:style>
  <w:style w:type="paragraph" w:styleId="21">
    <w:name w:val="envelope return"/>
    <w:basedOn w:val="1"/>
    <w:qFormat/>
    <w:uiPriority w:val="99"/>
    <w:rPr>
      <w:rFonts w:ascii="Arial" w:hAnsi="Arial" w:cs="Arial"/>
    </w:rPr>
  </w:style>
  <w:style w:type="paragraph" w:styleId="2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jc w:val="both"/>
      <w:outlineLvl w:val="9"/>
    </w:pPr>
    <w:rPr>
      <w:sz w:val="18"/>
    </w:r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3"/>
    <w:qFormat/>
    <w:uiPriority w:val="11"/>
    <w:pPr>
      <w:spacing w:before="200" w:after="200"/>
    </w:pPr>
    <w:rPr>
      <w:sz w:val="24"/>
      <w:szCs w:val="24"/>
    </w:rPr>
  </w:style>
  <w:style w:type="paragraph" w:styleId="26">
    <w:name w:val="footnote text"/>
    <w:basedOn w:val="1"/>
    <w:link w:val="186"/>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Body Text Indent 3"/>
    <w:basedOn w:val="1"/>
    <w:qFormat/>
    <w:uiPriority w:val="0"/>
    <w:pPr>
      <w:ind w:left="645" w:firstLine="645"/>
    </w:pPr>
    <w:rPr>
      <w:rFonts w:ascii="Arial" w:hAnsi="Arial" w:eastAsia="仿宋_GB2312" w:cs="Arial"/>
      <w:color w:val="FFFF00"/>
      <w:sz w:val="32"/>
      <w:szCs w:val="32"/>
    </w:r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qFormat/>
    <w:uiPriority w:val="0"/>
    <w:pPr>
      <w:spacing w:beforeAutospacing="1" w:afterAutospacing="1"/>
      <w:jc w:val="left"/>
    </w:pPr>
    <w:rPr>
      <w:rFonts w:cs="Times New Roman"/>
      <w:sz w:val="24"/>
    </w:rPr>
  </w:style>
  <w:style w:type="paragraph" w:styleId="33">
    <w:name w:val="Title"/>
    <w:basedOn w:val="1"/>
    <w:next w:val="1"/>
    <w:link w:val="52"/>
    <w:qFormat/>
    <w:uiPriority w:val="10"/>
    <w:pPr>
      <w:spacing w:before="300" w:after="200"/>
      <w:contextualSpacing/>
    </w:pPr>
    <w:rPr>
      <w:sz w:val="48"/>
      <w:szCs w:val="48"/>
    </w:rPr>
  </w:style>
  <w:style w:type="paragraph" w:styleId="34">
    <w:name w:val="Body Text First Indent 2"/>
    <w:basedOn w:val="14"/>
    <w:next w:val="13"/>
    <w:qFormat/>
    <w:uiPriority w:val="0"/>
    <w:pPr>
      <w:ind w:firstLine="420"/>
    </w:pPr>
  </w:style>
  <w:style w:type="table" w:styleId="36">
    <w:name w:val="Table Grid"/>
    <w:basedOn w:val="35"/>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basedOn w:val="37"/>
    <w:semiHidden/>
    <w:unhideWhenUsed/>
    <w:qFormat/>
    <w:uiPriority w:val="99"/>
    <w:rPr>
      <w:vertAlign w:val="superscript"/>
    </w:rPr>
  </w:style>
  <w:style w:type="character" w:styleId="39">
    <w:name w:val="Hyperlink"/>
    <w:unhideWhenUsed/>
    <w:qFormat/>
    <w:uiPriority w:val="99"/>
    <w:rPr>
      <w:color w:val="0026E5" w:themeColor="hyperlink"/>
      <w:u w:val="single"/>
      <w14:textFill>
        <w14:solidFill>
          <w14:schemeClr w14:val="hlink"/>
        </w14:solidFill>
      </w14:textFill>
    </w:rPr>
  </w:style>
  <w:style w:type="character" w:styleId="40">
    <w:name w:val="footnote reference"/>
    <w:basedOn w:val="37"/>
    <w:unhideWhenUsed/>
    <w:qFormat/>
    <w:uiPriority w:val="99"/>
    <w:rPr>
      <w:vertAlign w:val="superscript"/>
    </w:rPr>
  </w:style>
  <w:style w:type="character" w:customStyle="1" w:styleId="41">
    <w:name w:val="Heading 1 Char"/>
    <w:basedOn w:val="37"/>
    <w:link w:val="2"/>
    <w:qFormat/>
    <w:uiPriority w:val="9"/>
    <w:rPr>
      <w:rFonts w:ascii="Arial" w:hAnsi="Arial" w:eastAsia="Arial" w:cs="Arial"/>
      <w:sz w:val="40"/>
      <w:szCs w:val="40"/>
    </w:rPr>
  </w:style>
  <w:style w:type="character" w:customStyle="1" w:styleId="42">
    <w:name w:val="Heading 2 Char"/>
    <w:basedOn w:val="37"/>
    <w:qFormat/>
    <w:uiPriority w:val="9"/>
    <w:rPr>
      <w:rFonts w:ascii="Arial" w:hAnsi="Arial" w:eastAsia="Arial" w:cs="Arial"/>
      <w:sz w:val="34"/>
    </w:rPr>
  </w:style>
  <w:style w:type="character" w:customStyle="1" w:styleId="43">
    <w:name w:val="Heading 3 Char"/>
    <w:basedOn w:val="37"/>
    <w:link w:val="4"/>
    <w:qFormat/>
    <w:uiPriority w:val="9"/>
    <w:rPr>
      <w:rFonts w:ascii="Arial" w:hAnsi="Arial" w:eastAsia="Arial" w:cs="Arial"/>
      <w:sz w:val="30"/>
      <w:szCs w:val="30"/>
    </w:rPr>
  </w:style>
  <w:style w:type="character" w:customStyle="1" w:styleId="44">
    <w:name w:val="Heading 4 Char"/>
    <w:basedOn w:val="37"/>
    <w:link w:val="5"/>
    <w:qFormat/>
    <w:uiPriority w:val="9"/>
    <w:rPr>
      <w:rFonts w:ascii="Arial" w:hAnsi="Arial" w:eastAsia="Arial" w:cs="Arial"/>
      <w:b/>
      <w:bCs/>
      <w:sz w:val="26"/>
      <w:szCs w:val="26"/>
    </w:rPr>
  </w:style>
  <w:style w:type="character" w:customStyle="1" w:styleId="45">
    <w:name w:val="Heading 5 Char"/>
    <w:basedOn w:val="37"/>
    <w:link w:val="6"/>
    <w:qFormat/>
    <w:uiPriority w:val="9"/>
    <w:rPr>
      <w:rFonts w:ascii="Arial" w:hAnsi="Arial" w:eastAsia="Arial" w:cs="Arial"/>
      <w:b/>
      <w:bCs/>
      <w:sz w:val="24"/>
      <w:szCs w:val="24"/>
    </w:rPr>
  </w:style>
  <w:style w:type="character" w:customStyle="1" w:styleId="46">
    <w:name w:val="Heading 6 Char"/>
    <w:basedOn w:val="37"/>
    <w:link w:val="7"/>
    <w:qFormat/>
    <w:uiPriority w:val="9"/>
    <w:rPr>
      <w:rFonts w:ascii="Arial" w:hAnsi="Arial" w:eastAsia="Arial" w:cs="Arial"/>
      <w:b/>
      <w:bCs/>
      <w:sz w:val="22"/>
      <w:szCs w:val="22"/>
    </w:rPr>
  </w:style>
  <w:style w:type="character" w:customStyle="1" w:styleId="47">
    <w:name w:val="Heading 7 Char"/>
    <w:basedOn w:val="37"/>
    <w:link w:val="8"/>
    <w:qFormat/>
    <w:uiPriority w:val="9"/>
    <w:rPr>
      <w:rFonts w:ascii="Arial" w:hAnsi="Arial" w:eastAsia="Arial" w:cs="Arial"/>
      <w:b/>
      <w:bCs/>
      <w:i/>
      <w:iCs/>
      <w:sz w:val="22"/>
      <w:szCs w:val="22"/>
    </w:rPr>
  </w:style>
  <w:style w:type="character" w:customStyle="1" w:styleId="48">
    <w:name w:val="Heading 8 Char"/>
    <w:basedOn w:val="37"/>
    <w:link w:val="9"/>
    <w:qFormat/>
    <w:uiPriority w:val="9"/>
    <w:rPr>
      <w:rFonts w:ascii="Arial" w:hAnsi="Arial" w:eastAsia="Arial" w:cs="Arial"/>
      <w:i/>
      <w:iCs/>
      <w:sz w:val="22"/>
      <w:szCs w:val="22"/>
    </w:rPr>
  </w:style>
  <w:style w:type="character" w:customStyle="1" w:styleId="49">
    <w:name w:val="Heading 9 Char"/>
    <w:basedOn w:val="37"/>
    <w:link w:val="10"/>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basedOn w:val="37"/>
    <w:link w:val="33"/>
    <w:qFormat/>
    <w:uiPriority w:val="10"/>
    <w:rPr>
      <w:sz w:val="48"/>
      <w:szCs w:val="48"/>
    </w:rPr>
  </w:style>
  <w:style w:type="character" w:customStyle="1" w:styleId="53">
    <w:name w:val="Subtitle Char"/>
    <w:basedOn w:val="37"/>
    <w:link w:val="25"/>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basedOn w:val="37"/>
    <w:qFormat/>
    <w:uiPriority w:val="99"/>
  </w:style>
  <w:style w:type="character" w:customStyle="1" w:styleId="59">
    <w:name w:val="Footer Char"/>
    <w:basedOn w:val="37"/>
    <w:qFormat/>
    <w:uiPriority w:val="99"/>
  </w:style>
  <w:style w:type="character" w:customStyle="1" w:styleId="60">
    <w:name w:val="Caption Char"/>
    <w:qFormat/>
    <w:uiPriority w:val="99"/>
  </w:style>
  <w:style w:type="table" w:customStyle="1" w:styleId="61">
    <w:name w:val="Table Grid Light"/>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basedOn w:val="35"/>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9">
    <w:name w:val="Grid Table 1 Light - Accent 2"/>
    <w:basedOn w:val="35"/>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0">
    <w:name w:val="Grid Table 1 Light - Accent 3"/>
    <w:basedOn w:val="35"/>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1">
    <w:name w:val="Grid Table 1 Light - Accent 4"/>
    <w:basedOn w:val="35"/>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2">
    <w:name w:val="Grid Table 1 Light - Accent 5"/>
    <w:basedOn w:val="35"/>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3">
    <w:name w:val="Grid Table 1 Light - Accent 6"/>
    <w:basedOn w:val="35"/>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4">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basedOn w:val="35"/>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6">
    <w:name w:val="Grid Table 2 - Accent 2"/>
    <w:basedOn w:val="35"/>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7">
    <w:name w:val="Grid Table 2 - Accent 3"/>
    <w:basedOn w:val="35"/>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8">
    <w:name w:val="Grid Table 2 - Accent 4"/>
    <w:basedOn w:val="35"/>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9">
    <w:name w:val="Grid Table 2 - Accent 5"/>
    <w:basedOn w:val="35"/>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0">
    <w:name w:val="Grid Table 2 - Accent 6"/>
    <w:basedOn w:val="35"/>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1">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basedOn w:val="35"/>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3">
    <w:name w:val="Grid Table 3 - Accent 2"/>
    <w:basedOn w:val="35"/>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4">
    <w:name w:val="Grid Table 3 - Accent 3"/>
    <w:basedOn w:val="35"/>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5">
    <w:name w:val="Grid Table 3 - Accent 4"/>
    <w:basedOn w:val="35"/>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6">
    <w:name w:val="Grid Table 3 - Accent 5"/>
    <w:basedOn w:val="35"/>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7">
    <w:name w:val="Grid Table 3 - Accent 6"/>
    <w:basedOn w:val="35"/>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8">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basedOn w:val="35"/>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0">
    <w:name w:val="Grid Table 4 - Accent 2"/>
    <w:basedOn w:val="35"/>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1">
    <w:name w:val="Grid Table 4 - Accent 3"/>
    <w:basedOn w:val="35"/>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2">
    <w:name w:val="Grid Table 4 - Accent 4"/>
    <w:basedOn w:val="35"/>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3">
    <w:name w:val="Grid Table 4 - Accent 5"/>
    <w:basedOn w:val="35"/>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4">
    <w:name w:val="Grid Table 4 - Accent 6"/>
    <w:basedOn w:val="35"/>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5">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7">
    <w:name w:val="Grid Table 5 Dark - Accent 2"/>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8">
    <w:name w:val="Grid Table 5 Dark - Accent 3"/>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9">
    <w:name w:val="Grid Table 5 Dark- Accent 4"/>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0">
    <w:name w:val="Grid Table 5 Dark - Accent 5"/>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1">
    <w:name w:val="Grid Table 5 Dark - Accent 6"/>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2">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basedOn w:val="35"/>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basedOn w:val="35"/>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basedOn w:val="35"/>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basedOn w:val="35"/>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basedOn w:val="35"/>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8">
    <w:name w:val="Grid Table 6 Colorful - Accent 6"/>
    <w:basedOn w:val="35"/>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9">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basedOn w:val="35"/>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basedOn w:val="35"/>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basedOn w:val="35"/>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basedOn w:val="35"/>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basedOn w:val="35"/>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5">
    <w:name w:val="Grid Table 7 Colorful - Accent 6"/>
    <w:basedOn w:val="35"/>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6">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basedOn w:val="35"/>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8">
    <w:name w:val="List Table 1 Light - Accent 2"/>
    <w:basedOn w:val="35"/>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9">
    <w:name w:val="List Table 1 Light - Accent 3"/>
    <w:basedOn w:val="35"/>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0">
    <w:name w:val="List Table 1 Light - Accent 4"/>
    <w:basedOn w:val="35"/>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1">
    <w:name w:val="List Table 1 Light - Accent 5"/>
    <w:basedOn w:val="35"/>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2">
    <w:name w:val="List Table 1 Light - Accent 6"/>
    <w:basedOn w:val="35"/>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3">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basedOn w:val="35"/>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5">
    <w:name w:val="List Table 2 - Accent 2"/>
    <w:basedOn w:val="35"/>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6">
    <w:name w:val="List Table 2 - Accent 3"/>
    <w:basedOn w:val="35"/>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7">
    <w:name w:val="List Table 2 - Accent 4"/>
    <w:basedOn w:val="35"/>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8">
    <w:name w:val="List Table 2 - Accent 5"/>
    <w:basedOn w:val="35"/>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9">
    <w:name w:val="List Table 2 - Accent 6"/>
    <w:basedOn w:val="35"/>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0">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basedOn w:val="35"/>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2">
    <w:name w:val="List Table 3 - Accent 2"/>
    <w:basedOn w:val="35"/>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3">
    <w:name w:val="List Table 3 - Accent 3"/>
    <w:basedOn w:val="35"/>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4">
    <w:name w:val="List Table 3 - Accent 4"/>
    <w:basedOn w:val="35"/>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5">
    <w:name w:val="List Table 3 - Accent 5"/>
    <w:basedOn w:val="35"/>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6">
    <w:name w:val="List Table 3 - Accent 6"/>
    <w:basedOn w:val="35"/>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7">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basedOn w:val="35"/>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9">
    <w:name w:val="List Table 4 - Accent 2"/>
    <w:basedOn w:val="35"/>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0">
    <w:name w:val="List Table 4 - Accent 3"/>
    <w:basedOn w:val="35"/>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1">
    <w:name w:val="List Table 4 - Accent 4"/>
    <w:basedOn w:val="35"/>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2">
    <w:name w:val="List Table 4 - Accent 5"/>
    <w:basedOn w:val="35"/>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3">
    <w:name w:val="List Table 4 - Accent 6"/>
    <w:basedOn w:val="35"/>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4">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basedOn w:val="35"/>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6">
    <w:name w:val="List Table 5 Dark - Accent 2"/>
    <w:basedOn w:val="35"/>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7">
    <w:name w:val="List Table 5 Dark - Accent 3"/>
    <w:basedOn w:val="35"/>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8">
    <w:name w:val="List Table 5 Dark - Accent 4"/>
    <w:basedOn w:val="35"/>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9">
    <w:name w:val="List Table 5 Dark - Accent 5"/>
    <w:basedOn w:val="35"/>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0">
    <w:name w:val="List Table 5 Dark - Accent 6"/>
    <w:basedOn w:val="35"/>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1">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basedOn w:val="35"/>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3">
    <w:name w:val="List Table 6 Colorful - Accent 2"/>
    <w:basedOn w:val="35"/>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basedOn w:val="35"/>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basedOn w:val="35"/>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basedOn w:val="35"/>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basedOn w:val="35"/>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8">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basedOn w:val="35"/>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0">
    <w:name w:val="List Table 7 Colorful - Accent 2"/>
    <w:basedOn w:val="35"/>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basedOn w:val="35"/>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basedOn w:val="35"/>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basedOn w:val="35"/>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basedOn w:val="35"/>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5">
    <w:name w:val="Lined - Accent"/>
    <w:basedOn w:val="3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basedOn w:val="35"/>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7">
    <w:name w:val="Lined - Accent 2"/>
    <w:basedOn w:val="35"/>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8">
    <w:name w:val="Lined - Accent 3"/>
    <w:basedOn w:val="35"/>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9">
    <w:name w:val="Lined - Accent 4"/>
    <w:basedOn w:val="35"/>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0">
    <w:name w:val="Lined - Accent 5"/>
    <w:basedOn w:val="35"/>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1">
    <w:name w:val="Lined - Accent 6"/>
    <w:basedOn w:val="35"/>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2">
    <w:name w:val="Bordered &amp; Lined - Accent"/>
    <w:basedOn w:val="3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basedOn w:val="35"/>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4">
    <w:name w:val="Bordered &amp; Lined - Accent 2"/>
    <w:basedOn w:val="35"/>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5">
    <w:name w:val="Bordered &amp; Lined - Accent 3"/>
    <w:basedOn w:val="35"/>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6">
    <w:name w:val="Bordered &amp; Lined - Accent 4"/>
    <w:basedOn w:val="35"/>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7">
    <w:name w:val="Bordered &amp; Lined - Accent 5"/>
    <w:basedOn w:val="35"/>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8">
    <w:name w:val="Bordered &amp; Lined - Accent 6"/>
    <w:basedOn w:val="35"/>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9">
    <w:name w:val="Bordered"/>
    <w:basedOn w:val="3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basedOn w:val="35"/>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1">
    <w:name w:val="Bordered - Accent 2"/>
    <w:basedOn w:val="35"/>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2">
    <w:name w:val="Bordered - Accent 3"/>
    <w:basedOn w:val="35"/>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3">
    <w:name w:val="Bordered - Accent 4"/>
    <w:basedOn w:val="35"/>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4">
    <w:name w:val="Bordered - Accent 5"/>
    <w:basedOn w:val="35"/>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5">
    <w:name w:val="Bordered - Accent 6"/>
    <w:basedOn w:val="35"/>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6">
    <w:name w:val="Footnote Text Char"/>
    <w:link w:val="26"/>
    <w:qFormat/>
    <w:uiPriority w:val="99"/>
    <w:rPr>
      <w:sz w:val="18"/>
    </w:rPr>
  </w:style>
  <w:style w:type="character" w:customStyle="1" w:styleId="187">
    <w:name w:val="Endnote Text Char"/>
    <w:link w:val="19"/>
    <w:qFormat/>
    <w:uiPriority w:val="99"/>
    <w:rPr>
      <w:sz w:val="20"/>
    </w:rPr>
  </w:style>
  <w:style w:type="paragraph" w:customStyle="1" w:styleId="188">
    <w:name w:val="TOC Heading"/>
    <w:unhideWhenUsed/>
    <w:qFormat/>
    <w:uiPriority w:val="39"/>
    <w:rPr>
      <w:rFonts w:hint="default" w:ascii="Times New Roman" w:hAnsi="Times New Roman" w:eastAsia="宋体" w:cs="Times New Roman"/>
    </w:rPr>
  </w:style>
  <w:style w:type="paragraph" w:customStyle="1" w:styleId="189">
    <w:name w:val="正文首行缩进 21"/>
    <w:basedOn w:val="190"/>
    <w:qFormat/>
    <w:uiPriority w:val="0"/>
    <w:pPr>
      <w:ind w:firstLine="420"/>
    </w:pPr>
  </w:style>
  <w:style w:type="paragraph" w:customStyle="1" w:styleId="190">
    <w:name w:val="正文文本缩进1"/>
    <w:basedOn w:val="1"/>
    <w:qFormat/>
    <w:uiPriority w:val="0"/>
    <w:pPr>
      <w:spacing w:after="120"/>
      <w:ind w:left="420"/>
    </w:pPr>
  </w:style>
  <w:style w:type="paragraph" w:customStyle="1" w:styleId="191">
    <w:name w:val="4"/>
    <w:basedOn w:val="1"/>
    <w:next w:val="28"/>
    <w:qFormat/>
    <w:uiPriority w:val="0"/>
    <w:pPr>
      <w:spacing w:line="360" w:lineRule="auto"/>
      <w:ind w:firstLine="420"/>
    </w:pPr>
    <w:rPr>
      <w:color w:val="FF0000"/>
      <w:sz w:val="24"/>
    </w:rPr>
  </w:style>
  <w:style w:type="paragraph" w:customStyle="1" w:styleId="192">
    <w:name w:val="普通正文"/>
    <w:basedOn w:val="1"/>
    <w:qFormat/>
    <w:uiPriority w:val="0"/>
    <w:pPr>
      <w:spacing w:before="120" w:after="120" w:line="360" w:lineRule="auto"/>
      <w:ind w:firstLine="480"/>
      <w:jc w:val="left"/>
    </w:pPr>
    <w:rPr>
      <w:rFonts w:ascii="Arial" w:hAnsi="Arial" w:eastAsia="等线" w:cs="Arial"/>
      <w:sz w:val="24"/>
      <w:szCs w:val="24"/>
    </w:rPr>
  </w:style>
  <w:style w:type="paragraph" w:customStyle="1" w:styleId="193">
    <w:name w:val="纯文本1"/>
    <w:basedOn w:val="1"/>
    <w:qFormat/>
    <w:uiPriority w:val="0"/>
    <w:rPr>
      <w:rFonts w:ascii="宋体" w:hAnsi="Courier New" w:eastAsia="楷体_GB2312"/>
      <w:sz w:val="28"/>
      <w:szCs w:val="20"/>
    </w:rPr>
  </w:style>
  <w:style w:type="paragraph" w:customStyle="1" w:styleId="194">
    <w:name w:val="索引 41"/>
    <w:basedOn w:val="1"/>
    <w:next w:val="1"/>
    <w:unhideWhenUsed/>
    <w:qFormat/>
    <w:uiPriority w:val="0"/>
    <w:pPr>
      <w:ind w:left="600"/>
    </w:pPr>
    <w:rPr>
      <w:sz w:val="21"/>
      <w:szCs w:val="24"/>
    </w:rPr>
  </w:style>
  <w:style w:type="character" w:customStyle="1" w:styleId="195">
    <w:name w:val="NormalCharacter"/>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1530</Words>
  <Characters>1692</Characters>
  <TotalTime>24</TotalTime>
  <ScaleCrop>false</ScaleCrop>
  <LinksUpToDate>false</LinksUpToDate>
  <CharactersWithSpaces>1796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2026-03-20T03:31:00Z</dcterms:created>
  <dc:creator>Fang</dc:creator>
  <cp:lastModifiedBy>Administrator</cp:lastModifiedBy>
  <cp:lastPrinted>2026-04-27T09:46:00Z</cp:lastPrinted>
  <dcterms:modified xsi:type="dcterms:W3CDTF">2026-05-20T01:08:24Z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05D5B0CDF0014D7A8E81FCAA6D911CDA_13</vt:lpwstr>
  </property>
  <property fmtid="{D5CDD505-2E9C-101B-9397-08002B2CF9AE}" pid="4" name="KSOTemplateDocerSaveRecord">
    <vt:lpwstr>eyJoZGlkIjoiZmEyMjAxMDg3NmI2ZjY4NzEwYWRjNGE2MjE0Mzc5YWMifQ==</vt:lpwstr>
  </property>
</Properties>
</file>